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D584B" w14:textId="5914B64C" w:rsidR="00067A5F"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sidR="00A0485A">
        <w:rPr>
          <w:rFonts w:ascii="Arial" w:eastAsia="맑은 고딕" w:hAnsi="Arial" w:hint="eastAsia"/>
          <w:b/>
          <w:noProof/>
          <w:sz w:val="24"/>
        </w:rPr>
        <w:t>97</w:t>
      </w:r>
      <w:r w:rsidRPr="00670ECC">
        <w:rPr>
          <w:rFonts w:ascii="Arial" w:eastAsia="맑은 고딕" w:hAnsi="Arial"/>
          <w:b/>
          <w:i/>
          <w:noProof/>
          <w:sz w:val="28"/>
        </w:rPr>
        <w:tab/>
      </w:r>
      <w:r w:rsidR="00ED5024">
        <w:rPr>
          <w:rFonts w:ascii="Arial" w:eastAsia="맑은 고딕" w:hAnsi="Arial"/>
          <w:b/>
          <w:i/>
          <w:noProof/>
          <w:color w:val="000000"/>
          <w:sz w:val="28"/>
        </w:rPr>
        <w:t>R2-1</w:t>
      </w:r>
      <w:r w:rsidR="00ED5024" w:rsidRPr="00ED5024">
        <w:rPr>
          <w:rFonts w:ascii="Arial" w:eastAsia="맑은 고딕" w:hAnsi="Arial"/>
          <w:b/>
          <w:i/>
          <w:noProof/>
          <w:color w:val="000000"/>
          <w:sz w:val="28"/>
        </w:rPr>
        <w:t xml:space="preserve">701337 </w:t>
      </w:r>
    </w:p>
    <w:p w14:paraId="41A0EF9E" w14:textId="66843942" w:rsidR="00067A5F" w:rsidRPr="009725C7" w:rsidRDefault="009725C7" w:rsidP="00067A5F">
      <w:pPr>
        <w:pStyle w:val="CRCoverPage"/>
        <w:spacing w:after="240"/>
        <w:rPr>
          <w:b/>
          <w:sz w:val="24"/>
          <w:szCs w:val="24"/>
          <w:lang w:eastAsia="ko-KR"/>
        </w:rPr>
      </w:pPr>
      <w:r w:rsidRPr="009725C7">
        <w:rPr>
          <w:rFonts w:eastAsia="맑은 고딕" w:cs="Arial"/>
          <w:b/>
          <w:sz w:val="24"/>
          <w:szCs w:val="24"/>
          <w:lang w:eastAsia="ko-KR"/>
        </w:rPr>
        <w:t>Athens, Greece, 1</w:t>
      </w:r>
      <w:r w:rsidR="00D9777D">
        <w:rPr>
          <w:rFonts w:eastAsia="맑은 고딕" w:cs="Arial"/>
          <w:b/>
          <w:sz w:val="24"/>
          <w:szCs w:val="24"/>
          <w:lang w:eastAsia="ko-KR"/>
        </w:rPr>
        <w:t>3</w:t>
      </w:r>
      <w:r w:rsidRPr="009725C7">
        <w:rPr>
          <w:rFonts w:eastAsia="맑은 고딕" w:cs="Arial"/>
          <w:b/>
          <w:sz w:val="24"/>
          <w:szCs w:val="24"/>
          <w:lang w:eastAsia="ko-KR"/>
        </w:rPr>
        <w:t>th – 1</w:t>
      </w:r>
      <w:r w:rsidR="00D9777D">
        <w:rPr>
          <w:rFonts w:eastAsia="맑은 고딕" w:cs="Arial"/>
          <w:b/>
          <w:sz w:val="24"/>
          <w:szCs w:val="24"/>
          <w:lang w:eastAsia="ko-KR"/>
        </w:rPr>
        <w:t>7</w:t>
      </w:r>
      <w:r w:rsidRPr="009725C7">
        <w:rPr>
          <w:rFonts w:eastAsia="맑은 고딕" w:cs="Arial"/>
          <w:b/>
          <w:sz w:val="24"/>
          <w:szCs w:val="24"/>
          <w:lang w:eastAsia="ko-KR"/>
        </w:rPr>
        <w:t>th February 2017</w:t>
      </w:r>
    </w:p>
    <w:p w14:paraId="561546FB" w14:textId="6E9B355B"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7A6C57">
        <w:rPr>
          <w:rFonts w:hint="eastAsia"/>
          <w:b/>
          <w:noProof/>
          <w:sz w:val="24"/>
          <w:lang w:eastAsia="ko-KR"/>
        </w:rPr>
        <w:t>8.13.</w:t>
      </w:r>
      <w:r w:rsidR="00321CDF">
        <w:rPr>
          <w:b/>
          <w:noProof/>
          <w:sz w:val="24"/>
          <w:lang w:eastAsia="ko-KR"/>
        </w:rPr>
        <w:t>6</w:t>
      </w:r>
      <w:bookmarkStart w:id="0" w:name="_GoBack"/>
      <w:bookmarkEnd w:id="0"/>
    </w:p>
    <w:p w14:paraId="0950E913" w14:textId="77777777"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14:paraId="000A21DF" w14:textId="77777777"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sidR="00061F7A">
        <w:rPr>
          <w:b/>
          <w:noProof/>
          <w:sz w:val="24"/>
          <w:lang w:eastAsia="ko-KR"/>
        </w:rPr>
        <w:t xml:space="preserve"> </w:t>
      </w:r>
      <w:r w:rsidR="003F63D8">
        <w:rPr>
          <w:b/>
          <w:noProof/>
          <w:sz w:val="24"/>
          <w:lang w:eastAsia="ko-KR"/>
        </w:rPr>
        <w:t>CBR meausrment and reporting in Idle mode</w:t>
      </w:r>
    </w:p>
    <w:p w14:paraId="1FC222AF" w14:textId="77777777"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14:paraId="75B94FAA" w14:textId="77777777"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14:paraId="61322E28" w14:textId="6BD74825" w:rsidR="00CA43D6" w:rsidRDefault="00E574FD" w:rsidP="00B1695D">
      <w:pPr>
        <w:pStyle w:val="a6"/>
        <w:spacing w:line="312" w:lineRule="auto"/>
        <w:jc w:val="left"/>
        <w:rPr>
          <w:b/>
        </w:rPr>
      </w:pPr>
      <w:r>
        <w:rPr>
          <w:rFonts w:ascii="Times New Roman" w:hAnsi="Times New Roman" w:cs="Times New Roman"/>
          <w:sz w:val="22"/>
        </w:rPr>
        <w:t>I</w:t>
      </w:r>
      <w:r w:rsidR="00A24E2F">
        <w:rPr>
          <w:rFonts w:ascii="Times New Roman" w:hAnsi="Times New Roman" w:cs="Times New Roman" w:hint="eastAsia"/>
          <w:sz w:val="22"/>
        </w:rPr>
        <w:t xml:space="preserve">n </w:t>
      </w:r>
      <w:r w:rsidR="00B1695D">
        <w:rPr>
          <w:rFonts w:ascii="Times New Roman" w:hAnsi="Times New Roman" w:cs="Times New Roman"/>
          <w:sz w:val="22"/>
        </w:rPr>
        <w:t>RAN</w:t>
      </w:r>
      <w:r>
        <w:rPr>
          <w:rFonts w:ascii="Times New Roman" w:hAnsi="Times New Roman" w:cs="Times New Roman"/>
          <w:sz w:val="22"/>
        </w:rPr>
        <w:t>1</w:t>
      </w:r>
      <w:r w:rsidR="00B1695D">
        <w:rPr>
          <w:rFonts w:ascii="Times New Roman" w:hAnsi="Times New Roman" w:cs="Times New Roman"/>
          <w:sz w:val="22"/>
        </w:rPr>
        <w:t>#</w:t>
      </w:r>
      <w:r>
        <w:rPr>
          <w:rFonts w:ascii="Times New Roman" w:hAnsi="Times New Roman" w:cs="Times New Roman"/>
          <w:sz w:val="22"/>
        </w:rPr>
        <w:t>86</w:t>
      </w:r>
      <w:r w:rsidR="00B1695D">
        <w:rPr>
          <w:rFonts w:ascii="Times New Roman" w:hAnsi="Times New Roman" w:cs="Times New Roman"/>
          <w:sz w:val="22"/>
        </w:rPr>
        <w:t>bis</w:t>
      </w:r>
      <w:r w:rsidR="00A24E2F">
        <w:rPr>
          <w:rFonts w:ascii="Times New Roman" w:hAnsi="Times New Roman" w:cs="Times New Roman" w:hint="eastAsia"/>
          <w:sz w:val="22"/>
        </w:rPr>
        <w:t xml:space="preserve"> </w:t>
      </w:r>
      <w:r w:rsidR="00034D38">
        <w:rPr>
          <w:rFonts w:ascii="Times New Roman" w:hAnsi="Times New Roman" w:cs="Times New Roman"/>
          <w:sz w:val="22"/>
        </w:rPr>
        <w:t>meeting [</w:t>
      </w:r>
      <w:r w:rsidR="000A2C61">
        <w:rPr>
          <w:rFonts w:ascii="Times New Roman" w:hAnsi="Times New Roman" w:cs="Times New Roman"/>
          <w:sz w:val="22"/>
        </w:rPr>
        <w:t>1]</w:t>
      </w:r>
      <w:r w:rsidR="00A24E2F">
        <w:rPr>
          <w:rFonts w:ascii="Times New Roman" w:hAnsi="Times New Roman" w:cs="Times New Roman" w:hint="eastAsia"/>
          <w:sz w:val="22"/>
        </w:rPr>
        <w:t xml:space="preserve">, </w:t>
      </w:r>
      <w:r w:rsidR="00A36C71">
        <w:rPr>
          <w:rFonts w:ascii="Times New Roman" w:hAnsi="Times New Roman" w:cs="Times New Roman" w:hint="eastAsia"/>
          <w:sz w:val="22"/>
        </w:rPr>
        <w:t>CBR (channel busy ratio) was discussed and agreed as below:</w:t>
      </w:r>
      <w:r w:rsidR="000B6557">
        <w:rPr>
          <w:rFonts w:ascii="Times New Roman" w:hAnsi="Times New Roman" w:cs="Times New Roman"/>
          <w:sz w:val="22"/>
        </w:rPr>
        <w:t xml:space="preserve"> </w:t>
      </w:r>
    </w:p>
    <w:p w14:paraId="5D21A90B" w14:textId="77777777" w:rsidR="00AC4F0C" w:rsidRDefault="00AC4F0C" w:rsidP="00CA43D6">
      <w:pPr>
        <w:pStyle w:val="Doc-text2"/>
        <w:tabs>
          <w:tab w:val="clear" w:pos="1622"/>
          <w:tab w:val="left" w:pos="718"/>
        </w:tabs>
        <w:ind w:left="0" w:firstLine="0"/>
        <w:rPr>
          <w:b/>
        </w:rPr>
      </w:pPr>
    </w:p>
    <w:tbl>
      <w:tblPr>
        <w:tblStyle w:val="a7"/>
        <w:tblW w:w="0" w:type="auto"/>
        <w:tblLook w:val="04A0" w:firstRow="1" w:lastRow="0" w:firstColumn="1" w:lastColumn="0" w:noHBand="0" w:noVBand="1"/>
      </w:tblPr>
      <w:tblGrid>
        <w:gridCol w:w="9736"/>
      </w:tblGrid>
      <w:tr w:rsidR="001D2060" w14:paraId="193C2CC4" w14:textId="77777777" w:rsidTr="001D2060">
        <w:tc>
          <w:tcPr>
            <w:tcW w:w="9736" w:type="dxa"/>
          </w:tcPr>
          <w:p w14:paraId="6F5EF624" w14:textId="77777777" w:rsidR="001D2060" w:rsidRPr="00530498" w:rsidRDefault="00E574FD" w:rsidP="001D2060">
            <w:pPr>
              <w:pStyle w:val="Doc-text2"/>
              <w:tabs>
                <w:tab w:val="clear" w:pos="1622"/>
                <w:tab w:val="left" w:pos="718"/>
              </w:tabs>
              <w:ind w:left="0" w:firstLine="0"/>
            </w:pPr>
            <w:r>
              <w:rPr>
                <w:rFonts w:ascii="Arial Unicode MS" w:eastAsia="Arial Unicode MS" w:hAnsi="Arial Unicode MS" w:cs="Arial Unicode MS" w:hint="eastAsia"/>
                <w:lang w:eastAsia="ko-KR"/>
              </w:rPr>
              <w:t>RAN</w:t>
            </w:r>
            <w:r>
              <w:rPr>
                <w:rFonts w:ascii="Arial Unicode MS" w:eastAsia="Arial Unicode MS" w:hAnsi="Arial Unicode MS" w:cs="Arial Unicode MS"/>
                <w:lang w:eastAsia="ko-KR"/>
              </w:rPr>
              <w:t>1</w:t>
            </w:r>
            <w:r w:rsidR="00530498">
              <w:rPr>
                <w:rFonts w:ascii="Arial Unicode MS" w:eastAsia="Arial Unicode MS" w:hAnsi="Arial Unicode MS" w:cs="Arial Unicode MS" w:hint="eastAsia"/>
                <w:lang w:eastAsia="ko-KR"/>
              </w:rPr>
              <w:t>#</w:t>
            </w:r>
            <w:r>
              <w:rPr>
                <w:rFonts w:ascii="Arial Unicode MS" w:eastAsia="Arial Unicode MS" w:hAnsi="Arial Unicode MS" w:cs="Arial Unicode MS"/>
                <w:lang w:eastAsia="ko-KR"/>
              </w:rPr>
              <w:t>86</w:t>
            </w:r>
            <w:r w:rsidR="00530498">
              <w:rPr>
                <w:rFonts w:ascii="Arial Unicode MS" w:eastAsia="Arial Unicode MS" w:hAnsi="Arial Unicode MS" w:cs="Arial Unicode MS" w:hint="eastAsia"/>
                <w:lang w:eastAsia="ko-KR"/>
              </w:rPr>
              <w:t xml:space="preserve">bis </w:t>
            </w:r>
            <w:r w:rsidR="001D2060" w:rsidRPr="00530498">
              <w:t>Agreements:</w:t>
            </w:r>
          </w:p>
          <w:p w14:paraId="2915B98B" w14:textId="77777777" w:rsidR="00A36C71" w:rsidRPr="00F96794" w:rsidRDefault="00A36C71" w:rsidP="00F96794">
            <w:pPr>
              <w:pStyle w:val="ab"/>
              <w:numPr>
                <w:ilvl w:val="0"/>
                <w:numId w:val="19"/>
              </w:numPr>
              <w:spacing w:line="360" w:lineRule="auto"/>
              <w:ind w:leftChars="0"/>
              <w:rPr>
                <w:lang w:val="en-GB"/>
              </w:rPr>
            </w:pPr>
            <w:r w:rsidRPr="00F96794">
              <w:rPr>
                <w:rFonts w:ascii="Times New Roman" w:hAnsi="Times New Roman" w:cs="Times New Roman"/>
                <w:i/>
              </w:rPr>
              <w:t>Channel busy ratio (CBR) is defined for the congestion measurement over PC5 in V-UEs</w:t>
            </w:r>
          </w:p>
          <w:p w14:paraId="417BC3B7" w14:textId="77777777" w:rsidR="00A36C71" w:rsidRPr="00F96794" w:rsidRDefault="00A36C71" w:rsidP="00F96794">
            <w:pPr>
              <w:pStyle w:val="ab"/>
              <w:numPr>
                <w:ilvl w:val="1"/>
                <w:numId w:val="19"/>
              </w:numPr>
              <w:spacing w:line="360" w:lineRule="auto"/>
              <w:ind w:leftChars="0"/>
              <w:rPr>
                <w:rFonts w:ascii="Times New Roman" w:hAnsi="Times New Roman" w:cs="Times New Roman"/>
                <w:i/>
              </w:rPr>
            </w:pPr>
            <w:r w:rsidRPr="00F96794">
              <w:rPr>
                <w:rFonts w:ascii="Times New Roman" w:hAnsi="Times New Roman" w:cs="Times New Roman"/>
                <w:i/>
              </w:rPr>
              <w:t>CBR is the portion of sub-channels whose S-RSSI exceed a (pre-)configured threshold observed during (working assumption: 100 ms).</w:t>
            </w:r>
          </w:p>
          <w:p w14:paraId="4410227D" w14:textId="77777777" w:rsidR="00A36C71" w:rsidRPr="00F96794" w:rsidRDefault="00A36C71" w:rsidP="00F96794">
            <w:pPr>
              <w:pStyle w:val="ab"/>
              <w:numPr>
                <w:ilvl w:val="2"/>
                <w:numId w:val="19"/>
              </w:numPr>
              <w:spacing w:line="360" w:lineRule="auto"/>
              <w:ind w:leftChars="0"/>
              <w:rPr>
                <w:rFonts w:ascii="Times New Roman" w:hAnsi="Times New Roman" w:cs="Times New Roman"/>
                <w:i/>
              </w:rPr>
            </w:pPr>
            <w:r w:rsidRPr="00F96794">
              <w:rPr>
                <w:rFonts w:ascii="Times New Roman" w:hAnsi="Times New Roman" w:cs="Times New Roman"/>
                <w:i/>
              </w:rPr>
              <w:t>Only the sub-channels included in the resource pool are used for the measurement.</w:t>
            </w:r>
          </w:p>
          <w:p w14:paraId="3A07FB8A" w14:textId="77777777" w:rsidR="00A36C71" w:rsidRPr="00F96794" w:rsidRDefault="00A36C71" w:rsidP="00F96794">
            <w:pPr>
              <w:pStyle w:val="ab"/>
              <w:numPr>
                <w:ilvl w:val="2"/>
                <w:numId w:val="19"/>
              </w:numPr>
              <w:spacing w:line="360" w:lineRule="auto"/>
              <w:ind w:leftChars="0"/>
              <w:rPr>
                <w:rFonts w:ascii="Times New Roman" w:hAnsi="Times New Roman" w:cs="Times New Roman"/>
                <w:i/>
              </w:rPr>
            </w:pPr>
            <w:r w:rsidRPr="00F96794">
              <w:rPr>
                <w:rFonts w:ascii="Times New Roman" w:hAnsi="Times New Roman" w:cs="Times New Roman"/>
                <w:i/>
              </w:rPr>
              <w:t>FFS whether additional separated measurement is needed for SA pool.</w:t>
            </w:r>
          </w:p>
          <w:p w14:paraId="5F49A6B6" w14:textId="77777777" w:rsidR="00A36C71" w:rsidRPr="00F96794" w:rsidRDefault="00A36C71" w:rsidP="00F96794">
            <w:pPr>
              <w:pStyle w:val="ab"/>
              <w:numPr>
                <w:ilvl w:val="1"/>
                <w:numId w:val="19"/>
              </w:numPr>
              <w:spacing w:line="360" w:lineRule="auto"/>
              <w:ind w:leftChars="0"/>
              <w:rPr>
                <w:rFonts w:ascii="Times New Roman" w:hAnsi="Times New Roman" w:cs="Times New Roman"/>
                <w:i/>
              </w:rPr>
            </w:pPr>
            <w:r w:rsidRPr="00F96794">
              <w:rPr>
                <w:rFonts w:ascii="Times New Roman" w:hAnsi="Times New Roman" w:cs="Times New Roman"/>
                <w:i/>
              </w:rPr>
              <w:t>For a UE in Mode 3, the eNB indicates a set of resources on which the UE perform this measurement</w:t>
            </w:r>
          </w:p>
          <w:p w14:paraId="278D7C32" w14:textId="77777777" w:rsidR="00A36C71" w:rsidRPr="00F96794" w:rsidRDefault="00A36C71" w:rsidP="00F96794">
            <w:pPr>
              <w:pStyle w:val="ab"/>
              <w:numPr>
                <w:ilvl w:val="1"/>
                <w:numId w:val="19"/>
              </w:numPr>
              <w:spacing w:line="360" w:lineRule="auto"/>
              <w:ind w:leftChars="0"/>
              <w:rPr>
                <w:rFonts w:ascii="Times New Roman" w:hAnsi="Times New Roman" w:cs="Times New Roman"/>
                <w:i/>
              </w:rPr>
            </w:pPr>
            <w:r w:rsidRPr="00F96794">
              <w:rPr>
                <w:rFonts w:ascii="Times New Roman" w:hAnsi="Times New Roman" w:cs="Times New Roman"/>
                <w:i/>
              </w:rPr>
              <w:t>For a UE in Mode 4, the measurement is pool-specific.</w:t>
            </w:r>
          </w:p>
          <w:p w14:paraId="79E2491A" w14:textId="77777777" w:rsidR="00A36C71" w:rsidRPr="00F96794" w:rsidRDefault="00A36C71" w:rsidP="00F96794">
            <w:pPr>
              <w:pStyle w:val="ab"/>
              <w:numPr>
                <w:ilvl w:val="2"/>
                <w:numId w:val="19"/>
              </w:numPr>
              <w:spacing w:line="360" w:lineRule="auto"/>
              <w:ind w:leftChars="0"/>
              <w:rPr>
                <w:rFonts w:ascii="Times New Roman" w:hAnsi="Times New Roman" w:cs="Times New Roman"/>
                <w:i/>
              </w:rPr>
            </w:pPr>
            <w:r w:rsidRPr="00F96794">
              <w:rPr>
                <w:rFonts w:ascii="Times New Roman" w:hAnsi="Times New Roman" w:cs="Times New Roman"/>
                <w:i/>
              </w:rPr>
              <w:t>A UE measures at least on its current TX pool(s).</w:t>
            </w:r>
          </w:p>
          <w:p w14:paraId="791B5A76" w14:textId="77777777" w:rsidR="00A36C71" w:rsidRDefault="00A36C71" w:rsidP="00F96794">
            <w:pPr>
              <w:pStyle w:val="ab"/>
              <w:numPr>
                <w:ilvl w:val="3"/>
                <w:numId w:val="19"/>
              </w:numPr>
              <w:spacing w:line="360" w:lineRule="auto"/>
              <w:ind w:leftChars="0"/>
              <w:rPr>
                <w:lang w:val="en-GB"/>
              </w:rPr>
            </w:pPr>
            <w:r w:rsidRPr="00F96794">
              <w:rPr>
                <w:rFonts w:ascii="Times New Roman" w:hAnsi="Times New Roman" w:cs="Times New Roman"/>
                <w:i/>
              </w:rPr>
              <w:t>FFS whether a UE measures on a pool which is not its current transmission pool</w:t>
            </w:r>
            <w:r>
              <w:rPr>
                <w:lang w:val="en-GB"/>
              </w:rPr>
              <w:t>.</w:t>
            </w:r>
          </w:p>
          <w:p w14:paraId="296A4FFD" w14:textId="77777777" w:rsidR="00A36C71" w:rsidRPr="00F96794" w:rsidRDefault="00A36C71" w:rsidP="00F96794">
            <w:pPr>
              <w:pStyle w:val="ab"/>
              <w:numPr>
                <w:ilvl w:val="2"/>
                <w:numId w:val="19"/>
              </w:numPr>
              <w:spacing w:line="360" w:lineRule="auto"/>
              <w:ind w:leftChars="0"/>
              <w:rPr>
                <w:rFonts w:ascii="Times New Roman" w:hAnsi="Times New Roman" w:cs="Times New Roman"/>
                <w:i/>
              </w:rPr>
            </w:pPr>
            <w:r w:rsidRPr="00F96794">
              <w:rPr>
                <w:rFonts w:ascii="Times New Roman" w:hAnsi="Times New Roman" w:cs="Times New Roman"/>
                <w:i/>
              </w:rPr>
              <w:t>RAN1 will not optimize this measurement to address the case of multiple TX pools</w:t>
            </w:r>
          </w:p>
          <w:p w14:paraId="6E8B5EC5" w14:textId="77777777" w:rsidR="00A36C71" w:rsidRPr="00F96794" w:rsidRDefault="00A36C71" w:rsidP="00F96794">
            <w:pPr>
              <w:pStyle w:val="ab"/>
              <w:numPr>
                <w:ilvl w:val="0"/>
                <w:numId w:val="19"/>
              </w:numPr>
              <w:spacing w:line="360" w:lineRule="auto"/>
              <w:ind w:leftChars="0"/>
              <w:rPr>
                <w:rFonts w:ascii="Times New Roman" w:hAnsi="Times New Roman" w:cs="Times New Roman"/>
                <w:i/>
              </w:rPr>
            </w:pPr>
            <w:r w:rsidRPr="00F96794">
              <w:rPr>
                <w:rFonts w:ascii="Times New Roman" w:hAnsi="Times New Roman" w:cs="Times New Roman"/>
                <w:i/>
              </w:rPr>
              <w:t>UE Reporting of CBR to eNB is supported</w:t>
            </w:r>
          </w:p>
          <w:p w14:paraId="73BF9ECE" w14:textId="77777777" w:rsidR="001D2060" w:rsidRPr="001D2060" w:rsidRDefault="00A36C71" w:rsidP="00F96794">
            <w:pPr>
              <w:pStyle w:val="ab"/>
              <w:numPr>
                <w:ilvl w:val="1"/>
                <w:numId w:val="19"/>
              </w:numPr>
              <w:spacing w:line="360" w:lineRule="auto"/>
              <w:ind w:leftChars="0"/>
            </w:pPr>
            <w:r w:rsidRPr="00F96794">
              <w:rPr>
                <w:rFonts w:ascii="Times New Roman" w:hAnsi="Times New Roman" w:cs="Times New Roman"/>
                <w:i/>
              </w:rPr>
              <w:t>Details up to RAN2 including any possible additional averaging at higher layer</w:t>
            </w:r>
          </w:p>
        </w:tc>
      </w:tr>
    </w:tbl>
    <w:p w14:paraId="348E0C48" w14:textId="77777777" w:rsidR="001D2060" w:rsidRPr="001D2060" w:rsidRDefault="001D2060" w:rsidP="00CA43D6">
      <w:pPr>
        <w:pStyle w:val="Doc-text2"/>
        <w:tabs>
          <w:tab w:val="clear" w:pos="1622"/>
          <w:tab w:val="left" w:pos="718"/>
        </w:tabs>
        <w:ind w:left="0" w:firstLine="0"/>
        <w:rPr>
          <w:b/>
          <w:lang w:val="en-US"/>
        </w:rPr>
      </w:pPr>
    </w:p>
    <w:p w14:paraId="4879FF05" w14:textId="55A92D52" w:rsidR="00E41249" w:rsidRDefault="00E41249" w:rsidP="00DD1CB3">
      <w:pPr>
        <w:pStyle w:val="a6"/>
        <w:spacing w:line="312" w:lineRule="auto"/>
        <w:jc w:val="left"/>
        <w:rPr>
          <w:rFonts w:ascii="Times New Roman" w:hAnsi="Times New Roman" w:cs="Times New Roman"/>
          <w:sz w:val="22"/>
        </w:rPr>
      </w:pPr>
      <w:r>
        <w:rPr>
          <w:rFonts w:ascii="Times New Roman" w:hAnsi="Times New Roman" w:cs="Times New Roman"/>
          <w:sz w:val="22"/>
        </w:rPr>
        <w:t>In RAN2</w:t>
      </w:r>
      <w:r w:rsidR="005D58FD">
        <w:rPr>
          <w:rFonts w:ascii="Times New Roman" w:hAnsi="Times New Roman" w:cs="Times New Roman" w:hint="eastAsia"/>
          <w:sz w:val="22"/>
        </w:rPr>
        <w:t xml:space="preserve"> </w:t>
      </w:r>
      <w:r w:rsidR="004C7C63">
        <w:rPr>
          <w:rFonts w:ascii="Times New Roman" w:hAnsi="Times New Roman" w:cs="Times New Roman" w:hint="eastAsia"/>
          <w:sz w:val="22"/>
        </w:rPr>
        <w:t xml:space="preserve">LTE </w:t>
      </w:r>
      <w:r w:rsidR="005D58FD">
        <w:rPr>
          <w:rFonts w:ascii="Times New Roman" w:hAnsi="Times New Roman" w:cs="Times New Roman" w:hint="eastAsia"/>
          <w:sz w:val="22"/>
        </w:rPr>
        <w:t>V2X conference call</w:t>
      </w:r>
      <w:r w:rsidR="004C7C63">
        <w:rPr>
          <w:rFonts w:ascii="Times New Roman" w:hAnsi="Times New Roman" w:cs="Times New Roman" w:hint="eastAsia"/>
          <w:sz w:val="22"/>
        </w:rPr>
        <w:t xml:space="preserve"> 2</w:t>
      </w:r>
      <w:r>
        <w:rPr>
          <w:rFonts w:ascii="Times New Roman" w:hAnsi="Times New Roman" w:cs="Times New Roman"/>
          <w:sz w:val="22"/>
        </w:rPr>
        <w:t xml:space="preserve"> [2], </w:t>
      </w:r>
      <w:r w:rsidR="001C3FA2">
        <w:rPr>
          <w:rFonts w:ascii="Times New Roman" w:hAnsi="Times New Roman" w:cs="Times New Roman" w:hint="eastAsia"/>
          <w:sz w:val="22"/>
        </w:rPr>
        <w:t xml:space="preserve">some </w:t>
      </w:r>
      <w:r>
        <w:rPr>
          <w:rFonts w:ascii="Times New Roman" w:hAnsi="Times New Roman" w:cs="Times New Roman"/>
          <w:sz w:val="22"/>
        </w:rPr>
        <w:t>agreeable proposals</w:t>
      </w:r>
      <w:r w:rsidR="003F63D8">
        <w:rPr>
          <w:rFonts w:ascii="Times New Roman" w:hAnsi="Times New Roman" w:cs="Times New Roman"/>
          <w:sz w:val="22"/>
        </w:rPr>
        <w:t xml:space="preserve"> </w:t>
      </w:r>
      <w:r w:rsidR="00E65370">
        <w:rPr>
          <w:rFonts w:ascii="Times New Roman" w:hAnsi="Times New Roman" w:cs="Times New Roman" w:hint="eastAsia"/>
          <w:sz w:val="22"/>
        </w:rPr>
        <w:t xml:space="preserve">are </w:t>
      </w:r>
      <w:r w:rsidR="001C3FA2">
        <w:rPr>
          <w:rFonts w:ascii="Times New Roman" w:hAnsi="Times New Roman" w:cs="Times New Roman" w:hint="eastAsia"/>
          <w:sz w:val="22"/>
        </w:rPr>
        <w:t xml:space="preserve">made </w:t>
      </w:r>
      <w:r>
        <w:rPr>
          <w:rFonts w:ascii="Times New Roman" w:hAnsi="Times New Roman" w:cs="Times New Roman"/>
          <w:sz w:val="22"/>
        </w:rPr>
        <w:t>as below:</w:t>
      </w:r>
    </w:p>
    <w:p w14:paraId="0B394CFE" w14:textId="77777777" w:rsidR="003F63D8" w:rsidRDefault="003F63D8" w:rsidP="003F63D8">
      <w:pPr>
        <w:pStyle w:val="Doc-text2"/>
        <w:tabs>
          <w:tab w:val="clear" w:pos="1622"/>
          <w:tab w:val="left" w:pos="718"/>
        </w:tabs>
        <w:ind w:left="0" w:firstLine="0"/>
        <w:rPr>
          <w:b/>
        </w:rPr>
      </w:pPr>
    </w:p>
    <w:tbl>
      <w:tblPr>
        <w:tblStyle w:val="a7"/>
        <w:tblW w:w="0" w:type="auto"/>
        <w:tblLook w:val="04A0" w:firstRow="1" w:lastRow="0" w:firstColumn="1" w:lastColumn="0" w:noHBand="0" w:noVBand="1"/>
      </w:tblPr>
      <w:tblGrid>
        <w:gridCol w:w="9736"/>
      </w:tblGrid>
      <w:tr w:rsidR="003F63D8" w14:paraId="1F6DD24C" w14:textId="77777777" w:rsidTr="008E510D">
        <w:tc>
          <w:tcPr>
            <w:tcW w:w="9736" w:type="dxa"/>
          </w:tcPr>
          <w:p w14:paraId="0D96988F" w14:textId="274DFC5E" w:rsidR="004C7C63" w:rsidRPr="00F548E3" w:rsidRDefault="004C7C63" w:rsidP="004C7C63">
            <w:pPr>
              <w:jc w:val="left"/>
              <w:rPr>
                <w:rFonts w:ascii="Times New Roman" w:eastAsia="SimSun" w:hAnsi="Times New Roman" w:cs="Times New Roman"/>
                <w:b/>
                <w:lang w:eastAsia="zh-CN"/>
              </w:rPr>
            </w:pPr>
            <w:r w:rsidRPr="00F548E3">
              <w:rPr>
                <w:rFonts w:ascii="Times New Roman" w:eastAsia="SimSun" w:hAnsi="Times New Roman" w:cs="Times New Roman"/>
                <w:b/>
                <w:lang w:eastAsia="zh-CN"/>
              </w:rPr>
              <w:t>Agre</w:t>
            </w:r>
            <w:r w:rsidR="00E65370" w:rsidRPr="00F548E3">
              <w:rPr>
                <w:rFonts w:ascii="Times New Roman" w:hAnsi="Times New Roman" w:cs="Times New Roman"/>
                <w:b/>
              </w:rPr>
              <w:t>e</w:t>
            </w:r>
            <w:r w:rsidRPr="00F548E3">
              <w:rPr>
                <w:rFonts w:ascii="Times New Roman" w:eastAsia="SimSun" w:hAnsi="Times New Roman" w:cs="Times New Roman"/>
                <w:b/>
                <w:lang w:eastAsia="zh-CN"/>
              </w:rPr>
              <w:t>able proposals:</w:t>
            </w:r>
          </w:p>
          <w:p w14:paraId="6567699C" w14:textId="77777777" w:rsidR="004C7C63" w:rsidRPr="00F548E3" w:rsidRDefault="004C7C63" w:rsidP="004C7C63">
            <w:pPr>
              <w:widowControl/>
              <w:numPr>
                <w:ilvl w:val="0"/>
                <w:numId w:val="21"/>
              </w:numPr>
              <w:wordWrap/>
              <w:autoSpaceDE/>
              <w:autoSpaceDN/>
              <w:spacing w:before="40"/>
              <w:jc w:val="left"/>
              <w:rPr>
                <w:rFonts w:ascii="Times New Roman" w:eastAsia="SimSun" w:hAnsi="Times New Roman" w:cs="Times New Roman"/>
                <w:lang w:eastAsia="zh-CN"/>
              </w:rPr>
            </w:pPr>
            <w:r w:rsidRPr="00F548E3">
              <w:rPr>
                <w:rFonts w:ascii="Times New Roman" w:eastAsia="SimSun" w:hAnsi="Times New Roman" w:cs="Times New Roman"/>
                <w:lang w:eastAsia="zh-CN"/>
              </w:rPr>
              <w:t>The eNB should be able to configure the UE with a mapping table for each tx pool</w:t>
            </w:r>
          </w:p>
          <w:p w14:paraId="4B4B6056" w14:textId="77777777" w:rsidR="004C7C63" w:rsidRPr="00F548E3" w:rsidRDefault="004C7C63" w:rsidP="004C7C63">
            <w:pPr>
              <w:widowControl/>
              <w:numPr>
                <w:ilvl w:val="0"/>
                <w:numId w:val="21"/>
              </w:numPr>
              <w:wordWrap/>
              <w:autoSpaceDE/>
              <w:autoSpaceDN/>
              <w:spacing w:before="40"/>
              <w:jc w:val="left"/>
              <w:rPr>
                <w:rFonts w:ascii="Times New Roman" w:eastAsia="SimSun" w:hAnsi="Times New Roman" w:cs="Times New Roman"/>
                <w:b/>
                <w:lang w:eastAsia="zh-CN"/>
              </w:rPr>
            </w:pPr>
            <w:r w:rsidRPr="00F548E3">
              <w:rPr>
                <w:rFonts w:ascii="Times New Roman" w:eastAsia="SimSun" w:hAnsi="Times New Roman" w:cs="Times New Roman"/>
                <w:lang w:eastAsia="zh-CN"/>
              </w:rPr>
              <w:t xml:space="preserve">The UE should be configured with S-RSSI threshold. FFS if is per tx pool.  FFS how the signaling is done.  </w:t>
            </w:r>
          </w:p>
          <w:p w14:paraId="25BB94D7" w14:textId="77777777" w:rsidR="004C7C63" w:rsidRPr="00F548E3" w:rsidRDefault="004C7C63" w:rsidP="004C7C63">
            <w:pPr>
              <w:widowControl/>
              <w:numPr>
                <w:ilvl w:val="0"/>
                <w:numId w:val="21"/>
              </w:numPr>
              <w:wordWrap/>
              <w:autoSpaceDE/>
              <w:autoSpaceDN/>
              <w:spacing w:before="40"/>
              <w:jc w:val="left"/>
              <w:rPr>
                <w:rFonts w:ascii="Times New Roman" w:eastAsia="SimSun" w:hAnsi="Times New Roman" w:cs="Times New Roman"/>
                <w:lang w:eastAsia="zh-CN"/>
              </w:rPr>
            </w:pPr>
            <w:r w:rsidRPr="00F548E3">
              <w:rPr>
                <w:rFonts w:ascii="Times New Roman" w:eastAsia="SimSun" w:hAnsi="Times New Roman" w:cs="Times New Roman"/>
                <w:lang w:eastAsia="zh-CN"/>
              </w:rPr>
              <w:t>The eNB configures the UE with mapping table and S-RSSI thresholds by both RRC dedicated signaling and SIB</w:t>
            </w:r>
          </w:p>
          <w:p w14:paraId="2849CE87" w14:textId="77777777" w:rsidR="004C7C63" w:rsidRPr="00F548E3" w:rsidRDefault="004C7C63" w:rsidP="004C7C63">
            <w:pPr>
              <w:widowControl/>
              <w:numPr>
                <w:ilvl w:val="0"/>
                <w:numId w:val="21"/>
              </w:numPr>
              <w:wordWrap/>
              <w:autoSpaceDE/>
              <w:autoSpaceDN/>
              <w:spacing w:before="40"/>
              <w:jc w:val="left"/>
              <w:rPr>
                <w:rFonts w:ascii="Times New Roman" w:eastAsia="SimSun" w:hAnsi="Times New Roman" w:cs="Times New Roman"/>
                <w:lang w:eastAsia="zh-CN"/>
              </w:rPr>
            </w:pPr>
            <w:r w:rsidRPr="00F548E3">
              <w:rPr>
                <w:rFonts w:ascii="Times New Roman" w:eastAsia="SimSun" w:hAnsi="Times New Roman" w:cs="Times New Roman"/>
                <w:lang w:eastAsia="zh-CN"/>
              </w:rPr>
              <w:t xml:space="preserve">One CBR measurement is reported for SA and Data pool for adjacent case </w:t>
            </w:r>
          </w:p>
          <w:p w14:paraId="7322F715" w14:textId="5E069C09" w:rsidR="003F63D8" w:rsidRPr="003F63D8" w:rsidRDefault="004C7C63" w:rsidP="00F548E3">
            <w:pPr>
              <w:widowControl/>
              <w:numPr>
                <w:ilvl w:val="0"/>
                <w:numId w:val="21"/>
              </w:numPr>
              <w:wordWrap/>
              <w:autoSpaceDE/>
              <w:autoSpaceDN/>
              <w:spacing w:before="40"/>
              <w:jc w:val="left"/>
              <w:rPr>
                <w:rFonts w:ascii="Times New Roman" w:hAnsi="Times New Roman" w:cs="Times New Roman"/>
                <w:i/>
              </w:rPr>
            </w:pPr>
            <w:r w:rsidRPr="00F548E3">
              <w:rPr>
                <w:rFonts w:ascii="Times New Roman" w:eastAsia="SimSun" w:hAnsi="Times New Roman" w:cs="Times New Roman"/>
                <w:lang w:eastAsia="zh-CN"/>
              </w:rPr>
              <w:t>FFS if CBR is reported separately for SA pool and Data pool for non-adjacent case.  FFS if S-RSSI threshold is configured separately.   FFS if both SA and Data pools CBR measurements have to be reported, can we report them in the same RRC message, do we need separate events for each.</w:t>
            </w:r>
          </w:p>
        </w:tc>
      </w:tr>
    </w:tbl>
    <w:p w14:paraId="1267B8B4" w14:textId="77777777" w:rsidR="004C7C63" w:rsidRPr="004C7C63" w:rsidRDefault="004C7C63" w:rsidP="00DD1CB3">
      <w:pPr>
        <w:pStyle w:val="a6"/>
        <w:spacing w:line="312" w:lineRule="auto"/>
        <w:jc w:val="left"/>
        <w:rPr>
          <w:rFonts w:ascii="Times New Roman" w:hAnsi="Times New Roman" w:cs="Times New Roman"/>
          <w:sz w:val="22"/>
        </w:rPr>
      </w:pPr>
    </w:p>
    <w:p w14:paraId="78A8F631" w14:textId="24870035" w:rsidR="003F63D8" w:rsidRDefault="001C3FA2" w:rsidP="00321CDF">
      <w:pPr>
        <w:pStyle w:val="a6"/>
        <w:spacing w:line="312" w:lineRule="auto"/>
        <w:ind w:left="110" w:hangingChars="50" w:hanging="110"/>
        <w:jc w:val="left"/>
        <w:rPr>
          <w:rFonts w:ascii="Times New Roman" w:hAnsi="Times New Roman" w:cs="Times New Roman"/>
          <w:sz w:val="22"/>
        </w:rPr>
      </w:pPr>
      <w:r>
        <w:rPr>
          <w:rFonts w:ascii="Times New Roman" w:hAnsi="Times New Roman" w:cs="Times New Roman" w:hint="eastAsia"/>
          <w:sz w:val="22"/>
        </w:rPr>
        <w:t xml:space="preserve">However RAN2 did not have a chance to discuss </w:t>
      </w:r>
      <w:r w:rsidR="00AA12C2">
        <w:rPr>
          <w:rFonts w:ascii="Times New Roman" w:hAnsi="Times New Roman" w:cs="Times New Roman" w:hint="eastAsia"/>
          <w:sz w:val="22"/>
        </w:rPr>
        <w:t>CBR measurement and report</w:t>
      </w:r>
      <w:r>
        <w:rPr>
          <w:rFonts w:ascii="Times New Roman" w:hAnsi="Times New Roman" w:cs="Times New Roman" w:hint="eastAsia"/>
          <w:sz w:val="22"/>
        </w:rPr>
        <w:t>ing</w:t>
      </w:r>
      <w:r w:rsidR="00AA12C2">
        <w:rPr>
          <w:rFonts w:ascii="Times New Roman" w:hAnsi="Times New Roman" w:cs="Times New Roman" w:hint="eastAsia"/>
          <w:sz w:val="22"/>
        </w:rPr>
        <w:t xml:space="preserve"> for resource pool used by RRC_IDLE UEs </w:t>
      </w:r>
      <w:r>
        <w:rPr>
          <w:rFonts w:ascii="Times New Roman" w:hAnsi="Times New Roman" w:cs="Times New Roman" w:hint="eastAsia"/>
          <w:sz w:val="22"/>
        </w:rPr>
        <w:t xml:space="preserve">in detail </w:t>
      </w:r>
      <w:r w:rsidR="00AA12C2">
        <w:rPr>
          <w:rFonts w:ascii="Times New Roman" w:hAnsi="Times New Roman" w:cs="Times New Roman" w:hint="eastAsia"/>
          <w:sz w:val="22"/>
        </w:rPr>
        <w:t>during the conference call</w:t>
      </w:r>
      <w:r>
        <w:rPr>
          <w:rFonts w:ascii="Times New Roman" w:hAnsi="Times New Roman" w:cs="Times New Roman" w:hint="eastAsia"/>
          <w:sz w:val="22"/>
        </w:rPr>
        <w:t>. S</w:t>
      </w:r>
      <w:r w:rsidR="00AA12C2">
        <w:rPr>
          <w:rFonts w:ascii="Times New Roman" w:hAnsi="Times New Roman" w:cs="Times New Roman" w:hint="eastAsia"/>
          <w:sz w:val="22"/>
        </w:rPr>
        <w:t>o</w:t>
      </w:r>
      <w:r w:rsidR="00B91EA2">
        <w:rPr>
          <w:rFonts w:ascii="Times New Roman" w:hAnsi="Times New Roman" w:cs="Times New Roman"/>
          <w:sz w:val="22"/>
        </w:rPr>
        <w:t>,</w:t>
      </w:r>
      <w:r w:rsidR="00AA12C2">
        <w:rPr>
          <w:rFonts w:ascii="Times New Roman" w:hAnsi="Times New Roman" w:cs="Times New Roman" w:hint="eastAsia"/>
          <w:sz w:val="22"/>
        </w:rPr>
        <w:t xml:space="preserve"> </w:t>
      </w:r>
      <w:r w:rsidR="00B91EA2">
        <w:rPr>
          <w:rFonts w:ascii="Times New Roman" w:hAnsi="Times New Roman" w:cs="Times New Roman"/>
          <w:sz w:val="22"/>
        </w:rPr>
        <w:t>We’d</w:t>
      </w:r>
      <w:r w:rsidR="003F63D8">
        <w:rPr>
          <w:rFonts w:ascii="Times New Roman" w:hAnsi="Times New Roman" w:cs="Times New Roman" w:hint="eastAsia"/>
          <w:sz w:val="22"/>
        </w:rPr>
        <w:t xml:space="preserve"> like to further discuss </w:t>
      </w:r>
      <w:r w:rsidR="00AA12C2">
        <w:rPr>
          <w:rFonts w:ascii="Times New Roman" w:hAnsi="Times New Roman" w:cs="Times New Roman" w:hint="eastAsia"/>
          <w:sz w:val="22"/>
        </w:rPr>
        <w:t>th</w:t>
      </w:r>
      <w:r>
        <w:rPr>
          <w:rFonts w:ascii="Times New Roman" w:hAnsi="Times New Roman" w:cs="Times New Roman" w:hint="eastAsia"/>
          <w:sz w:val="22"/>
        </w:rPr>
        <w:t>e</w:t>
      </w:r>
      <w:r w:rsidR="00AA12C2">
        <w:rPr>
          <w:rFonts w:ascii="Times New Roman" w:hAnsi="Times New Roman" w:cs="Times New Roman" w:hint="eastAsia"/>
          <w:sz w:val="22"/>
        </w:rPr>
        <w:t xml:space="preserve"> </w:t>
      </w:r>
      <w:r>
        <w:rPr>
          <w:rFonts w:ascii="Times New Roman" w:hAnsi="Times New Roman" w:cs="Times New Roman" w:hint="eastAsia"/>
          <w:sz w:val="22"/>
        </w:rPr>
        <w:t>issues in this contribution</w:t>
      </w:r>
      <w:r w:rsidR="003F63D8">
        <w:rPr>
          <w:rFonts w:ascii="Times New Roman" w:hAnsi="Times New Roman" w:cs="Times New Roman"/>
          <w:sz w:val="22"/>
        </w:rPr>
        <w:t>.</w:t>
      </w:r>
    </w:p>
    <w:p w14:paraId="04F9AA51" w14:textId="77777777" w:rsidR="003F63D8" w:rsidRPr="001C3FA2" w:rsidRDefault="003F63D8" w:rsidP="00DD1CB3">
      <w:pPr>
        <w:pStyle w:val="a6"/>
        <w:spacing w:line="312" w:lineRule="auto"/>
        <w:jc w:val="left"/>
        <w:rPr>
          <w:rFonts w:ascii="Times New Roman" w:hAnsi="Times New Roman" w:cs="Times New Roman"/>
          <w:sz w:val="22"/>
        </w:rPr>
      </w:pPr>
    </w:p>
    <w:p w14:paraId="7907AA48" w14:textId="77777777" w:rsidR="00415E4B" w:rsidRDefault="00A86E42" w:rsidP="00415E4B">
      <w:pPr>
        <w:pStyle w:val="1"/>
        <w:pBdr>
          <w:top w:val="single" w:sz="12" w:space="2" w:color="auto"/>
        </w:pBdr>
        <w:rPr>
          <w:rFonts w:eastAsiaTheme="minorEastAsia"/>
          <w:color w:val="auto"/>
          <w:lang w:val="en-US" w:eastAsia="ko-KR"/>
        </w:rPr>
      </w:pPr>
      <w:r>
        <w:rPr>
          <w:rFonts w:eastAsiaTheme="minorEastAsia"/>
          <w:color w:val="auto"/>
          <w:lang w:val="en-US" w:eastAsia="ko-KR"/>
        </w:rPr>
        <w:lastRenderedPageBreak/>
        <w:t>Discussion</w:t>
      </w:r>
    </w:p>
    <w:p w14:paraId="65BA782E" w14:textId="482FD98A" w:rsidR="00F7391C" w:rsidRDefault="00F7391C" w:rsidP="003F63D8">
      <w:pPr>
        <w:pStyle w:val="a6"/>
        <w:spacing w:line="312" w:lineRule="auto"/>
        <w:jc w:val="left"/>
        <w:rPr>
          <w:rFonts w:ascii="Times New Roman" w:hAnsi="Times New Roman" w:cs="Times New Roman"/>
          <w:sz w:val="22"/>
        </w:rPr>
      </w:pPr>
    </w:p>
    <w:p w14:paraId="0BD6D274" w14:textId="5772D6AA" w:rsidR="008743FB" w:rsidRDefault="00F7391C" w:rsidP="00BE3A0C">
      <w:pPr>
        <w:pStyle w:val="a6"/>
        <w:spacing w:line="312" w:lineRule="auto"/>
        <w:rPr>
          <w:rFonts w:ascii="Times New Roman" w:hAnsi="Times New Roman" w:cs="Times New Roman"/>
          <w:sz w:val="22"/>
        </w:rPr>
      </w:pPr>
      <w:r>
        <w:rPr>
          <w:rFonts w:ascii="Times New Roman" w:hAnsi="Times New Roman" w:cs="Times New Roman"/>
          <w:sz w:val="22"/>
        </w:rPr>
        <w:t>Following the V2X operation</w:t>
      </w:r>
      <w:r w:rsidR="005D58FD">
        <w:rPr>
          <w:rFonts w:ascii="Times New Roman" w:hAnsi="Times New Roman" w:cs="Times New Roman" w:hint="eastAsia"/>
          <w:sz w:val="22"/>
        </w:rPr>
        <w:t xml:space="preserve"> specified in</w:t>
      </w:r>
      <w:r w:rsidR="00472697">
        <w:rPr>
          <w:rFonts w:ascii="Times New Roman" w:hAnsi="Times New Roman" w:cs="Times New Roman"/>
          <w:sz w:val="22"/>
        </w:rPr>
        <w:t xml:space="preserve"> [3]</w:t>
      </w:r>
      <w:r>
        <w:rPr>
          <w:rFonts w:ascii="Times New Roman" w:hAnsi="Times New Roman" w:cs="Times New Roman"/>
          <w:sz w:val="22"/>
        </w:rPr>
        <w:t xml:space="preserve">, </w:t>
      </w:r>
      <w:r w:rsidR="008743FB">
        <w:rPr>
          <w:rFonts w:ascii="Times New Roman" w:hAnsi="Times New Roman" w:cs="Times New Roman" w:hint="eastAsia"/>
          <w:sz w:val="22"/>
        </w:rPr>
        <w:t xml:space="preserve">the </w:t>
      </w:r>
      <w:r w:rsidR="008743FB" w:rsidRPr="009B471D">
        <w:rPr>
          <w:rFonts w:ascii="Times New Roman" w:hAnsi="Times New Roman" w:cs="Times New Roman"/>
          <w:sz w:val="22"/>
        </w:rPr>
        <w:t>V2X sidelink transmission resource pool</w:t>
      </w:r>
      <w:r w:rsidR="008743FB">
        <w:rPr>
          <w:rFonts w:ascii="Times New Roman" w:hAnsi="Times New Roman" w:cs="Times New Roman" w:hint="eastAsia"/>
          <w:sz w:val="22"/>
        </w:rPr>
        <w:t>(</w:t>
      </w:r>
      <w:r w:rsidR="008743FB" w:rsidRPr="009B471D">
        <w:rPr>
          <w:rFonts w:ascii="Times New Roman" w:hAnsi="Times New Roman" w:cs="Times New Roman"/>
          <w:sz w:val="22"/>
        </w:rPr>
        <w:t>s</w:t>
      </w:r>
      <w:r w:rsidR="008743FB">
        <w:rPr>
          <w:rFonts w:ascii="Times New Roman" w:hAnsi="Times New Roman" w:cs="Times New Roman" w:hint="eastAsia"/>
          <w:sz w:val="22"/>
        </w:rPr>
        <w:t>)</w:t>
      </w:r>
      <w:r w:rsidR="008743FB">
        <w:rPr>
          <w:rFonts w:ascii="Times New Roman" w:hAnsi="Times New Roman" w:cs="Times New Roman"/>
          <w:sz w:val="22"/>
        </w:rPr>
        <w:t xml:space="preserve"> for </w:t>
      </w:r>
      <w:r w:rsidR="008743FB">
        <w:rPr>
          <w:rFonts w:ascii="Times New Roman" w:hAnsi="Times New Roman" w:cs="Times New Roman" w:hint="eastAsia"/>
          <w:sz w:val="22"/>
        </w:rPr>
        <w:t xml:space="preserve">idle mode </w:t>
      </w:r>
      <w:r w:rsidR="008743FB" w:rsidRPr="009B471D">
        <w:rPr>
          <w:rFonts w:ascii="Times New Roman" w:hAnsi="Times New Roman" w:cs="Times New Roman"/>
          <w:sz w:val="22"/>
        </w:rPr>
        <w:t>is configured</w:t>
      </w:r>
      <w:r w:rsidR="008743FB">
        <w:rPr>
          <w:rFonts w:ascii="Times New Roman" w:hAnsi="Times New Roman" w:cs="Times New Roman" w:hint="eastAsia"/>
          <w:sz w:val="22"/>
        </w:rPr>
        <w:t xml:space="preserve"> by eNB, and </w:t>
      </w:r>
      <w:r w:rsidR="009725C7">
        <w:rPr>
          <w:rFonts w:ascii="Times New Roman" w:hAnsi="Times New Roman" w:cs="Times New Roman"/>
          <w:sz w:val="22"/>
        </w:rPr>
        <w:t xml:space="preserve">UE is able to </w:t>
      </w:r>
      <w:r w:rsidR="00D13FDF">
        <w:rPr>
          <w:rFonts w:ascii="Times New Roman" w:hAnsi="Times New Roman" w:cs="Times New Roman" w:hint="eastAsia"/>
          <w:sz w:val="22"/>
        </w:rPr>
        <w:t>perform</w:t>
      </w:r>
      <w:r w:rsidR="009725C7">
        <w:rPr>
          <w:rFonts w:ascii="Times New Roman" w:hAnsi="Times New Roman" w:cs="Times New Roman"/>
          <w:sz w:val="22"/>
        </w:rPr>
        <w:t xml:space="preserve"> mode 4</w:t>
      </w:r>
      <w:r w:rsidR="00D13FDF">
        <w:rPr>
          <w:rFonts w:ascii="Times New Roman" w:hAnsi="Times New Roman" w:cs="Times New Roman" w:hint="eastAsia"/>
          <w:sz w:val="22"/>
        </w:rPr>
        <w:t>-based resource selection</w:t>
      </w:r>
      <w:r w:rsidR="009725C7">
        <w:rPr>
          <w:rFonts w:ascii="Times New Roman" w:hAnsi="Times New Roman" w:cs="Times New Roman"/>
          <w:sz w:val="22"/>
        </w:rPr>
        <w:t xml:space="preserve"> </w:t>
      </w:r>
      <w:r w:rsidR="00D13FDF">
        <w:rPr>
          <w:rFonts w:ascii="Times New Roman" w:hAnsi="Times New Roman" w:cs="Times New Roman" w:hint="eastAsia"/>
          <w:sz w:val="22"/>
        </w:rPr>
        <w:t>with</w:t>
      </w:r>
      <w:r>
        <w:rPr>
          <w:rFonts w:ascii="Times New Roman" w:hAnsi="Times New Roman" w:cs="Times New Roman"/>
          <w:sz w:val="22"/>
        </w:rPr>
        <w:t xml:space="preserve"> </w:t>
      </w:r>
      <w:r w:rsidR="008743FB">
        <w:rPr>
          <w:rFonts w:ascii="Times New Roman" w:hAnsi="Times New Roman" w:cs="Times New Roman" w:hint="eastAsia"/>
          <w:sz w:val="22"/>
        </w:rPr>
        <w:t xml:space="preserve">the </w:t>
      </w:r>
      <w:r>
        <w:rPr>
          <w:rFonts w:ascii="Times New Roman" w:hAnsi="Times New Roman" w:cs="Times New Roman"/>
          <w:sz w:val="22"/>
        </w:rPr>
        <w:t>TX pool</w:t>
      </w:r>
      <w:r w:rsidR="000E4350">
        <w:rPr>
          <w:rFonts w:ascii="Times New Roman" w:hAnsi="Times New Roman" w:cs="Times New Roman" w:hint="eastAsia"/>
          <w:sz w:val="22"/>
        </w:rPr>
        <w:t>(</w:t>
      </w:r>
      <w:r>
        <w:rPr>
          <w:rFonts w:ascii="Times New Roman" w:hAnsi="Times New Roman" w:cs="Times New Roman"/>
          <w:sz w:val="22"/>
        </w:rPr>
        <w:t>s</w:t>
      </w:r>
      <w:r w:rsidR="000E4350">
        <w:rPr>
          <w:rFonts w:ascii="Times New Roman" w:hAnsi="Times New Roman" w:cs="Times New Roman" w:hint="eastAsia"/>
          <w:sz w:val="22"/>
        </w:rPr>
        <w:t>)</w:t>
      </w:r>
      <w:r>
        <w:rPr>
          <w:rFonts w:ascii="Times New Roman" w:hAnsi="Times New Roman" w:cs="Times New Roman"/>
          <w:sz w:val="22"/>
        </w:rPr>
        <w:t xml:space="preserve"> </w:t>
      </w:r>
      <w:r w:rsidR="009725C7">
        <w:rPr>
          <w:rFonts w:ascii="Times New Roman" w:hAnsi="Times New Roman" w:cs="Times New Roman"/>
          <w:sz w:val="22"/>
        </w:rPr>
        <w:t xml:space="preserve">in idle mode. </w:t>
      </w:r>
      <w:r w:rsidR="008743FB">
        <w:rPr>
          <w:rFonts w:ascii="Times New Roman" w:hAnsi="Times New Roman" w:cs="Times New Roman" w:hint="eastAsia"/>
          <w:sz w:val="22"/>
        </w:rPr>
        <w:t xml:space="preserve">If there are a few transmitting UEs in </w:t>
      </w:r>
      <w:r w:rsidR="008743FB">
        <w:rPr>
          <w:rFonts w:ascii="Times New Roman" w:hAnsi="Times New Roman" w:cs="Times New Roman"/>
          <w:sz w:val="22"/>
        </w:rPr>
        <w:t>idle mode</w:t>
      </w:r>
      <w:r w:rsidR="008743FB">
        <w:rPr>
          <w:rFonts w:ascii="Times New Roman" w:hAnsi="Times New Roman" w:cs="Times New Roman" w:hint="eastAsia"/>
          <w:sz w:val="22"/>
        </w:rPr>
        <w:t xml:space="preserve">, then congestion ratio of the resource pool(s) configured for </w:t>
      </w:r>
      <w:r w:rsidR="008743FB">
        <w:rPr>
          <w:rFonts w:ascii="Times New Roman" w:hAnsi="Times New Roman" w:cs="Times New Roman"/>
          <w:sz w:val="22"/>
        </w:rPr>
        <w:t xml:space="preserve">idle mode </w:t>
      </w:r>
      <w:r w:rsidR="008743FB">
        <w:rPr>
          <w:rFonts w:ascii="Times New Roman" w:hAnsi="Times New Roman" w:cs="Times New Roman" w:hint="eastAsia"/>
          <w:sz w:val="22"/>
        </w:rPr>
        <w:t>is not high as Figure 1 (left one). B</w:t>
      </w:r>
      <w:r w:rsidR="008743FB">
        <w:rPr>
          <w:rFonts w:ascii="Times New Roman" w:hAnsi="Times New Roman" w:cs="Times New Roman"/>
          <w:sz w:val="22"/>
        </w:rPr>
        <w:t>u</w:t>
      </w:r>
      <w:r w:rsidR="008743FB">
        <w:rPr>
          <w:rFonts w:ascii="Times New Roman" w:hAnsi="Times New Roman" w:cs="Times New Roman" w:hint="eastAsia"/>
          <w:sz w:val="22"/>
        </w:rPr>
        <w:t xml:space="preserve">t as Figure 1 (right one) the resource pool of </w:t>
      </w:r>
      <w:r w:rsidR="008743FB">
        <w:rPr>
          <w:rFonts w:ascii="Times New Roman" w:hAnsi="Times New Roman" w:cs="Times New Roman"/>
          <w:sz w:val="22"/>
        </w:rPr>
        <w:t>idle mode</w:t>
      </w:r>
      <w:r w:rsidR="008743FB">
        <w:rPr>
          <w:rFonts w:ascii="Times New Roman" w:hAnsi="Times New Roman" w:cs="Times New Roman" w:hint="eastAsia"/>
          <w:sz w:val="22"/>
        </w:rPr>
        <w:t xml:space="preserve"> can be congested by many transmitting UEs in idle mode. </w:t>
      </w:r>
    </w:p>
    <w:p w14:paraId="4B5456D9" w14:textId="74EB0ECB" w:rsidR="008743FB" w:rsidRDefault="008743FB" w:rsidP="00BE3A0C">
      <w:pPr>
        <w:pStyle w:val="a6"/>
        <w:spacing w:line="312" w:lineRule="auto"/>
        <w:rPr>
          <w:rFonts w:ascii="Times New Roman" w:hAnsi="Times New Roman" w:cs="Times New Roman"/>
          <w:sz w:val="22"/>
        </w:rPr>
      </w:pPr>
      <w:r>
        <w:rPr>
          <w:rFonts w:ascii="Times New Roman" w:hAnsi="Times New Roman" w:cs="Times New Roman" w:hint="eastAsia"/>
          <w:sz w:val="22"/>
        </w:rPr>
        <w:t xml:space="preserve">For that case, CBR measurement and reporting should be </w:t>
      </w:r>
      <w:r w:rsidR="00191BD4">
        <w:rPr>
          <w:rFonts w:ascii="Times New Roman" w:hAnsi="Times New Roman" w:cs="Times New Roman" w:hint="eastAsia"/>
          <w:sz w:val="22"/>
        </w:rPr>
        <w:t>available</w:t>
      </w:r>
      <w:r>
        <w:rPr>
          <w:rFonts w:ascii="Times New Roman" w:hAnsi="Times New Roman" w:cs="Times New Roman" w:hint="eastAsia"/>
          <w:sz w:val="22"/>
        </w:rPr>
        <w:t xml:space="preserve"> for resource pool(s) in idle mode. </w:t>
      </w:r>
    </w:p>
    <w:p w14:paraId="0C274E65" w14:textId="77777777" w:rsidR="00BE3A0C" w:rsidRPr="00E60550" w:rsidRDefault="00BE3A0C" w:rsidP="00BE3A0C">
      <w:pPr>
        <w:pStyle w:val="a6"/>
        <w:spacing w:line="312" w:lineRule="auto"/>
        <w:rPr>
          <w:rFonts w:ascii="Times New Roman" w:hAnsi="Times New Roman" w:cs="Times New Roman"/>
          <w:sz w:val="22"/>
        </w:rPr>
      </w:pPr>
    </w:p>
    <w:p w14:paraId="7D94B133" w14:textId="2E340460" w:rsidR="008743FB" w:rsidRDefault="008743FB" w:rsidP="00BE3A0C">
      <w:pPr>
        <w:jc w:val="center"/>
        <w:rPr>
          <w:rFonts w:ascii="Times New Roman" w:hAnsi="Times New Roman" w:cs="Times New Roman"/>
          <w:sz w:val="22"/>
          <w:lang w:val="en-GB"/>
        </w:rPr>
      </w:pPr>
      <w:r>
        <w:rPr>
          <w:rFonts w:ascii="Times New Roman" w:hAnsi="Times New Roman" w:cs="Times New Roman"/>
          <w:sz w:val="22"/>
          <w:lang w:val="en-GB"/>
        </w:rPr>
        <w:object w:dxaOrig="17744" w:dyaOrig="5168" w14:anchorId="006BD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85pt;height:152.05pt" o:ole="">
            <v:imagedata r:id="rId7" o:title=""/>
          </v:shape>
          <o:OLEObject Type="Embed" ProgID="Visio.Drawing.11" ShapeID="_x0000_i1025" DrawAspect="Content" ObjectID="_1547644283" r:id="rId8"/>
        </w:object>
      </w:r>
      <w:r>
        <w:rPr>
          <w:rFonts w:ascii="Times New Roman" w:hAnsi="Times New Roman" w:cs="Times New Roman" w:hint="eastAsia"/>
          <w:sz w:val="22"/>
          <w:lang w:val="en-GB"/>
        </w:rPr>
        <w:t xml:space="preserve">Figure 1. </w:t>
      </w:r>
      <w:r>
        <w:rPr>
          <w:rFonts w:ascii="Times New Roman" w:hAnsi="Times New Roman" w:cs="Times New Roman"/>
          <w:sz w:val="22"/>
          <w:lang w:val="en-GB"/>
        </w:rPr>
        <w:t>Congestion status in idle mode (e</w:t>
      </w:r>
      <w:r>
        <w:rPr>
          <w:rFonts w:ascii="Times New Roman" w:hAnsi="Times New Roman" w:cs="Times New Roman" w:hint="eastAsia"/>
          <w:sz w:val="22"/>
          <w:lang w:val="en-GB"/>
        </w:rPr>
        <w:t>x.</w:t>
      </w:r>
      <w:r>
        <w:rPr>
          <w:rFonts w:ascii="Times New Roman" w:hAnsi="Times New Roman" w:cs="Times New Roman"/>
          <w:sz w:val="22"/>
          <w:lang w:val="en-GB"/>
        </w:rPr>
        <w:t xml:space="preserve"> due to change status from connected mode to idle mode)</w:t>
      </w:r>
    </w:p>
    <w:p w14:paraId="5AF74245" w14:textId="77777777" w:rsidR="00BE3A0C" w:rsidRPr="003F63D8" w:rsidRDefault="00BE3A0C" w:rsidP="00BE3A0C">
      <w:pPr>
        <w:jc w:val="center"/>
        <w:rPr>
          <w:rFonts w:ascii="Times New Roman" w:hAnsi="Times New Roman" w:cs="Times New Roman"/>
          <w:sz w:val="22"/>
          <w:lang w:val="en-GB"/>
        </w:rPr>
      </w:pPr>
    </w:p>
    <w:p w14:paraId="361C8996" w14:textId="7207B625" w:rsidR="009725C7" w:rsidRDefault="001C3FA2" w:rsidP="00BE3A0C">
      <w:pPr>
        <w:pStyle w:val="a6"/>
        <w:spacing w:line="312" w:lineRule="auto"/>
        <w:rPr>
          <w:rFonts w:ascii="Times New Roman" w:hAnsi="Times New Roman" w:cs="Times New Roman"/>
          <w:sz w:val="22"/>
        </w:rPr>
      </w:pPr>
      <w:r>
        <w:rPr>
          <w:rFonts w:ascii="Times New Roman" w:hAnsi="Times New Roman" w:cs="Times New Roman" w:hint="eastAsia"/>
          <w:sz w:val="22"/>
        </w:rPr>
        <w:t xml:space="preserve">The RRC_IDLE UE </w:t>
      </w:r>
      <w:r w:rsidR="000E4350">
        <w:rPr>
          <w:rFonts w:ascii="Times New Roman" w:hAnsi="Times New Roman" w:cs="Times New Roman" w:hint="eastAsia"/>
          <w:sz w:val="22"/>
        </w:rPr>
        <w:t>should be</w:t>
      </w:r>
      <w:r>
        <w:rPr>
          <w:rFonts w:ascii="Times New Roman" w:hAnsi="Times New Roman" w:cs="Times New Roman" w:hint="eastAsia"/>
          <w:sz w:val="22"/>
        </w:rPr>
        <w:t xml:space="preserve"> able to measure </w:t>
      </w:r>
      <w:r w:rsidR="00E03B1E">
        <w:rPr>
          <w:rFonts w:ascii="Times New Roman" w:hAnsi="Times New Roman" w:cs="Times New Roman" w:hint="eastAsia"/>
          <w:sz w:val="22"/>
        </w:rPr>
        <w:t xml:space="preserve">channel busy ratio (CBR) for </w:t>
      </w:r>
      <w:r w:rsidR="00774D03">
        <w:rPr>
          <w:rFonts w:ascii="Times New Roman" w:hAnsi="Times New Roman" w:cs="Times New Roman" w:hint="eastAsia"/>
          <w:sz w:val="22"/>
        </w:rPr>
        <w:t xml:space="preserve">the </w:t>
      </w:r>
      <w:r w:rsidR="00E03B1E">
        <w:rPr>
          <w:rFonts w:ascii="Times New Roman" w:hAnsi="Times New Roman" w:cs="Times New Roman" w:hint="eastAsia"/>
          <w:sz w:val="22"/>
        </w:rPr>
        <w:t>T</w:t>
      </w:r>
      <w:r>
        <w:rPr>
          <w:rFonts w:ascii="Times New Roman" w:hAnsi="Times New Roman" w:cs="Times New Roman" w:hint="eastAsia"/>
          <w:sz w:val="22"/>
        </w:rPr>
        <w:t>X pool</w:t>
      </w:r>
      <w:r w:rsidR="00774D03">
        <w:rPr>
          <w:rFonts w:ascii="Times New Roman" w:hAnsi="Times New Roman" w:cs="Times New Roman" w:hint="eastAsia"/>
          <w:sz w:val="22"/>
        </w:rPr>
        <w:t>(s)</w:t>
      </w:r>
      <w:r>
        <w:rPr>
          <w:rFonts w:ascii="Times New Roman" w:hAnsi="Times New Roman" w:cs="Times New Roman" w:hint="eastAsia"/>
          <w:sz w:val="22"/>
        </w:rPr>
        <w:t xml:space="preserve"> in </w:t>
      </w:r>
      <w:r w:rsidR="000E4350">
        <w:rPr>
          <w:rFonts w:ascii="Times New Roman" w:hAnsi="Times New Roman" w:cs="Times New Roman" w:hint="eastAsia"/>
          <w:sz w:val="22"/>
        </w:rPr>
        <w:t xml:space="preserve">idle </w:t>
      </w:r>
      <w:r>
        <w:rPr>
          <w:rFonts w:ascii="Times New Roman" w:hAnsi="Times New Roman" w:cs="Times New Roman" w:hint="eastAsia"/>
          <w:sz w:val="22"/>
        </w:rPr>
        <w:t xml:space="preserve">mode. </w:t>
      </w:r>
      <w:r w:rsidR="00E03B1E">
        <w:rPr>
          <w:rFonts w:ascii="Times New Roman" w:hAnsi="Times New Roman" w:cs="Times New Roman"/>
          <w:sz w:val="22"/>
        </w:rPr>
        <w:t>The</w:t>
      </w:r>
      <w:r w:rsidR="00E03B1E">
        <w:rPr>
          <w:rFonts w:ascii="Times New Roman" w:hAnsi="Times New Roman" w:cs="Times New Roman" w:hint="eastAsia"/>
          <w:sz w:val="22"/>
        </w:rPr>
        <w:t xml:space="preserve"> eNB may configure a mapping table for each TX pool </w:t>
      </w:r>
      <w:r w:rsidR="000E4350">
        <w:rPr>
          <w:rFonts w:ascii="Times New Roman" w:hAnsi="Times New Roman" w:cs="Times New Roman" w:hint="eastAsia"/>
          <w:sz w:val="22"/>
        </w:rPr>
        <w:t xml:space="preserve">which includes resource pool(s) </w:t>
      </w:r>
      <w:r w:rsidR="00E03B1E">
        <w:rPr>
          <w:rFonts w:ascii="Times New Roman" w:hAnsi="Times New Roman" w:cs="Times New Roman" w:hint="eastAsia"/>
          <w:sz w:val="22"/>
        </w:rPr>
        <w:t>used by RRC_IDLE UEs</w:t>
      </w:r>
      <w:r w:rsidR="00A80B1D">
        <w:rPr>
          <w:rFonts w:ascii="Times New Roman" w:hAnsi="Times New Roman" w:cs="Times New Roman" w:hint="eastAsia"/>
          <w:sz w:val="22"/>
        </w:rPr>
        <w:t xml:space="preserve">. The RRC_IDLE UE can </w:t>
      </w:r>
      <w:r w:rsidR="00774D03">
        <w:rPr>
          <w:rFonts w:ascii="Times New Roman" w:hAnsi="Times New Roman" w:cs="Times New Roman" w:hint="eastAsia"/>
          <w:sz w:val="22"/>
        </w:rPr>
        <w:t xml:space="preserve">perform CBR measurement for TX pool and </w:t>
      </w:r>
      <w:r w:rsidR="00A80B1D">
        <w:rPr>
          <w:rFonts w:ascii="Times New Roman" w:hAnsi="Times New Roman" w:cs="Times New Roman" w:hint="eastAsia"/>
          <w:sz w:val="22"/>
        </w:rPr>
        <w:t xml:space="preserve">use the mapping table for the corresponding TX pool. </w:t>
      </w:r>
    </w:p>
    <w:p w14:paraId="7FD71C06" w14:textId="77777777" w:rsidR="009E3353" w:rsidRDefault="009E3353" w:rsidP="00BE3A0C">
      <w:pPr>
        <w:pStyle w:val="Observation"/>
        <w:ind w:left="1701" w:hanging="1701"/>
        <w:rPr>
          <w:rFonts w:eastAsiaTheme="minorEastAsia"/>
          <w:lang w:eastAsia="ko-KR"/>
        </w:rPr>
      </w:pPr>
    </w:p>
    <w:p w14:paraId="7A5B1EE4" w14:textId="2C7E113F" w:rsidR="009E3353" w:rsidRDefault="009E3353" w:rsidP="00BE3A0C">
      <w:pPr>
        <w:pStyle w:val="Observation"/>
        <w:ind w:left="1701" w:hanging="1701"/>
        <w:rPr>
          <w:rFonts w:eastAsiaTheme="minorEastAsia"/>
          <w:lang w:eastAsia="ko-KR"/>
        </w:rPr>
      </w:pPr>
      <w:r w:rsidRPr="003F63D8">
        <w:rPr>
          <w:rFonts w:eastAsiaTheme="minorEastAsia"/>
          <w:lang w:eastAsia="ko-KR"/>
        </w:rPr>
        <w:t xml:space="preserve">Observation 1: </w:t>
      </w:r>
      <w:r w:rsidR="00A80B1D" w:rsidRPr="00321CDF">
        <w:rPr>
          <w:rFonts w:ascii="Times New Roman" w:eastAsiaTheme="minorEastAsia" w:hAnsi="Times New Roman"/>
          <w:bCs w:val="0"/>
          <w:kern w:val="2"/>
          <w:sz w:val="22"/>
          <w:szCs w:val="22"/>
          <w:lang w:eastAsia="ko-KR"/>
        </w:rPr>
        <w:t>RRC_IDLE UEs should be configured with the mapping table for TX pool(s) in idle mode</w:t>
      </w:r>
      <w:r w:rsidR="000E4350" w:rsidRPr="00321CDF">
        <w:rPr>
          <w:rFonts w:ascii="Times New Roman" w:eastAsiaTheme="minorEastAsia" w:hAnsi="Times New Roman"/>
          <w:bCs w:val="0"/>
          <w:kern w:val="2"/>
          <w:sz w:val="22"/>
          <w:szCs w:val="22"/>
          <w:lang w:eastAsia="ko-KR"/>
        </w:rPr>
        <w:t>.</w:t>
      </w:r>
      <w:r w:rsidR="00A80B1D" w:rsidRPr="00321CDF">
        <w:rPr>
          <w:rFonts w:ascii="Times New Roman" w:eastAsiaTheme="minorEastAsia" w:hAnsi="Times New Roman"/>
          <w:bCs w:val="0"/>
          <w:kern w:val="2"/>
          <w:sz w:val="22"/>
          <w:szCs w:val="22"/>
          <w:lang w:eastAsia="ko-KR"/>
        </w:rPr>
        <w:t xml:space="preserve"> </w:t>
      </w:r>
    </w:p>
    <w:p w14:paraId="1D383A83" w14:textId="53BD054E" w:rsidR="007848B2" w:rsidRDefault="007848B2" w:rsidP="00BE3A0C">
      <w:pPr>
        <w:rPr>
          <w:rFonts w:ascii="Times New Roman" w:hAnsi="Times New Roman" w:cs="Times New Roman"/>
          <w:b/>
          <w:sz w:val="22"/>
          <w:lang w:val="en-GB"/>
        </w:rPr>
      </w:pPr>
      <w:r w:rsidRPr="007C7B38">
        <w:rPr>
          <w:rFonts w:ascii="Times New Roman" w:hAnsi="Times New Roman" w:cs="Times New Roman"/>
          <w:b/>
          <w:sz w:val="22"/>
          <w:lang w:val="en-GB"/>
        </w:rPr>
        <w:t>Proposal 1:</w:t>
      </w:r>
      <w:r>
        <w:rPr>
          <w:rFonts w:ascii="Times New Roman" w:hAnsi="Times New Roman" w:cs="Times New Roman"/>
          <w:b/>
          <w:sz w:val="22"/>
          <w:lang w:val="en-GB"/>
        </w:rPr>
        <w:t xml:space="preserve"> </w:t>
      </w:r>
      <w:r w:rsidR="00D13FDF">
        <w:rPr>
          <w:rFonts w:ascii="Times New Roman" w:hAnsi="Times New Roman" w:cs="Times New Roman" w:hint="eastAsia"/>
          <w:b/>
          <w:sz w:val="22"/>
          <w:lang w:val="en-GB"/>
        </w:rPr>
        <w:t xml:space="preserve">the eNB should configure UE with the CBR </w:t>
      </w:r>
      <w:r w:rsidR="00D13FDF">
        <w:rPr>
          <w:rFonts w:ascii="Times New Roman" w:hAnsi="Times New Roman" w:cs="Times New Roman"/>
          <w:b/>
          <w:sz w:val="22"/>
          <w:lang w:val="en-GB"/>
        </w:rPr>
        <w:t>measurement</w:t>
      </w:r>
      <w:r w:rsidR="00D13FDF">
        <w:rPr>
          <w:rFonts w:ascii="Times New Roman" w:hAnsi="Times New Roman" w:cs="Times New Roman" w:hint="eastAsia"/>
          <w:b/>
          <w:sz w:val="22"/>
          <w:lang w:val="en-GB"/>
        </w:rPr>
        <w:t xml:space="preserve"> </w:t>
      </w:r>
      <w:r w:rsidR="00D13FDF">
        <w:rPr>
          <w:rFonts w:ascii="Times New Roman" w:hAnsi="Times New Roman" w:cs="Times New Roman"/>
          <w:b/>
          <w:sz w:val="22"/>
          <w:lang w:val="en-GB"/>
        </w:rPr>
        <w:t>including</w:t>
      </w:r>
      <w:r w:rsidR="00D13FDF">
        <w:rPr>
          <w:rFonts w:ascii="Times New Roman" w:hAnsi="Times New Roman" w:cs="Times New Roman" w:hint="eastAsia"/>
          <w:b/>
          <w:sz w:val="22"/>
          <w:lang w:val="en-GB"/>
        </w:rPr>
        <w:t xml:space="preserve"> at least TX pool used in idle mode. </w:t>
      </w:r>
    </w:p>
    <w:p w14:paraId="5AB63924" w14:textId="77777777" w:rsidR="00BE3A0C" w:rsidRDefault="00BE3A0C" w:rsidP="00BE3A0C">
      <w:pPr>
        <w:rPr>
          <w:rFonts w:ascii="Times New Roman" w:hAnsi="Times New Roman" w:cs="Times New Roman"/>
          <w:b/>
          <w:sz w:val="22"/>
          <w:lang w:val="en-GB"/>
        </w:rPr>
      </w:pPr>
    </w:p>
    <w:p w14:paraId="40C50130" w14:textId="1F66539C" w:rsidR="00E60550" w:rsidRDefault="00E60550" w:rsidP="00BE3A0C">
      <w:pPr>
        <w:pStyle w:val="a6"/>
        <w:spacing w:line="312" w:lineRule="auto"/>
        <w:rPr>
          <w:rFonts w:ascii="Times New Roman" w:hAnsi="Times New Roman" w:cs="Times New Roman"/>
          <w:sz w:val="22"/>
          <w:lang w:val="en-GB"/>
        </w:rPr>
      </w:pPr>
      <w:r>
        <w:rPr>
          <w:rFonts w:ascii="Times New Roman" w:hAnsi="Times New Roman" w:cs="Times New Roman"/>
          <w:sz w:val="22"/>
          <w:lang w:val="en-GB"/>
        </w:rPr>
        <w:t xml:space="preserve">UE already measured </w:t>
      </w:r>
      <w:r w:rsidR="00E95907">
        <w:rPr>
          <w:rFonts w:ascii="Times New Roman" w:hAnsi="Times New Roman" w:cs="Times New Roman" w:hint="eastAsia"/>
          <w:sz w:val="22"/>
          <w:lang w:val="en-GB"/>
        </w:rPr>
        <w:t xml:space="preserve">on </w:t>
      </w:r>
      <w:r>
        <w:rPr>
          <w:rFonts w:ascii="Times New Roman" w:hAnsi="Times New Roman" w:cs="Times New Roman"/>
          <w:sz w:val="22"/>
          <w:lang w:val="en-GB"/>
        </w:rPr>
        <w:t xml:space="preserve">resource pool for </w:t>
      </w:r>
      <w:r w:rsidRPr="003F63D8">
        <w:rPr>
          <w:rFonts w:ascii="Times New Roman" w:hAnsi="Times New Roman" w:cs="Times New Roman"/>
          <w:sz w:val="22"/>
          <w:lang w:val="en-GB"/>
        </w:rPr>
        <w:t>idle</w:t>
      </w:r>
      <w:r>
        <w:rPr>
          <w:rFonts w:ascii="Times New Roman" w:hAnsi="Times New Roman" w:cs="Times New Roman"/>
          <w:sz w:val="22"/>
          <w:lang w:val="en-GB"/>
        </w:rPr>
        <w:t xml:space="preserve"> mode to use </w:t>
      </w:r>
      <w:r>
        <w:rPr>
          <w:rFonts w:ascii="Times New Roman" w:hAnsi="Times New Roman" w:cs="Times New Roman" w:hint="eastAsia"/>
          <w:sz w:val="22"/>
          <w:lang w:val="en-GB"/>
        </w:rPr>
        <w:t xml:space="preserve">the </w:t>
      </w:r>
      <w:r>
        <w:rPr>
          <w:rFonts w:ascii="Times New Roman" w:hAnsi="Times New Roman" w:cs="Times New Roman"/>
          <w:sz w:val="22"/>
          <w:lang w:val="en-GB"/>
        </w:rPr>
        <w:t xml:space="preserve">mapping </w:t>
      </w:r>
      <w:r w:rsidR="008E40BB">
        <w:rPr>
          <w:rFonts w:ascii="Times New Roman" w:hAnsi="Times New Roman" w:cs="Times New Roman" w:hint="eastAsia"/>
          <w:sz w:val="22"/>
          <w:lang w:val="en-GB"/>
        </w:rPr>
        <w:t>t</w:t>
      </w:r>
      <w:r>
        <w:rPr>
          <w:rFonts w:ascii="Times New Roman" w:hAnsi="Times New Roman" w:cs="Times New Roman"/>
          <w:sz w:val="22"/>
          <w:lang w:val="en-GB"/>
        </w:rPr>
        <w:t xml:space="preserve">able. Accordingly, </w:t>
      </w:r>
      <w:r w:rsidR="005F430F">
        <w:rPr>
          <w:rFonts w:ascii="Times New Roman" w:hAnsi="Times New Roman" w:cs="Times New Roman" w:hint="eastAsia"/>
          <w:sz w:val="22"/>
          <w:lang w:val="en-GB"/>
        </w:rPr>
        <w:t xml:space="preserve">the </w:t>
      </w:r>
      <w:r>
        <w:rPr>
          <w:rFonts w:ascii="Times New Roman" w:hAnsi="Times New Roman" w:cs="Times New Roman"/>
          <w:sz w:val="22"/>
          <w:lang w:val="en-GB"/>
        </w:rPr>
        <w:t xml:space="preserve">CBR measurement </w:t>
      </w:r>
      <w:r w:rsidR="005F430F">
        <w:rPr>
          <w:rFonts w:ascii="Times New Roman" w:hAnsi="Times New Roman" w:cs="Times New Roman" w:hint="eastAsia"/>
          <w:sz w:val="22"/>
          <w:lang w:val="en-GB"/>
        </w:rPr>
        <w:t xml:space="preserve">result </w:t>
      </w:r>
      <w:r>
        <w:rPr>
          <w:rFonts w:ascii="Times New Roman" w:hAnsi="Times New Roman" w:cs="Times New Roman"/>
          <w:sz w:val="22"/>
          <w:lang w:val="en-GB"/>
        </w:rPr>
        <w:t xml:space="preserve">on </w:t>
      </w:r>
      <w:r w:rsidR="005F430F">
        <w:rPr>
          <w:rFonts w:ascii="Times New Roman" w:hAnsi="Times New Roman" w:cs="Times New Roman" w:hint="eastAsia"/>
          <w:sz w:val="22"/>
          <w:lang w:val="en-GB"/>
        </w:rPr>
        <w:t xml:space="preserve">TX </w:t>
      </w:r>
      <w:r w:rsidR="00E95907">
        <w:rPr>
          <w:rFonts w:ascii="Times New Roman" w:hAnsi="Times New Roman" w:cs="Times New Roman" w:hint="eastAsia"/>
          <w:sz w:val="22"/>
          <w:lang w:val="en-GB"/>
        </w:rPr>
        <w:t xml:space="preserve">resource pool for </w:t>
      </w:r>
      <w:r>
        <w:rPr>
          <w:rFonts w:ascii="Times New Roman" w:hAnsi="Times New Roman" w:cs="Times New Roman"/>
          <w:sz w:val="22"/>
          <w:lang w:val="en-GB"/>
        </w:rPr>
        <w:t xml:space="preserve">idle </w:t>
      </w:r>
      <w:r w:rsidR="00E95907">
        <w:rPr>
          <w:rFonts w:ascii="Times New Roman" w:hAnsi="Times New Roman" w:cs="Times New Roman" w:hint="eastAsia"/>
          <w:sz w:val="22"/>
          <w:lang w:val="en-GB"/>
        </w:rPr>
        <w:t>mode</w:t>
      </w:r>
      <w:r w:rsidR="005F430F">
        <w:rPr>
          <w:rFonts w:ascii="Times New Roman" w:hAnsi="Times New Roman" w:cs="Times New Roman" w:hint="eastAsia"/>
          <w:sz w:val="22"/>
          <w:lang w:val="en-GB"/>
        </w:rPr>
        <w:t xml:space="preserve"> is available to be reported</w:t>
      </w:r>
      <w:r>
        <w:rPr>
          <w:rFonts w:ascii="Times New Roman" w:hAnsi="Times New Roman" w:cs="Times New Roman"/>
          <w:sz w:val="22"/>
          <w:lang w:val="en-GB"/>
        </w:rPr>
        <w:t>,</w:t>
      </w:r>
      <w:r w:rsidR="005F430F">
        <w:rPr>
          <w:rFonts w:ascii="Times New Roman" w:hAnsi="Times New Roman" w:cs="Times New Roman" w:hint="eastAsia"/>
          <w:sz w:val="22"/>
          <w:lang w:val="en-GB"/>
        </w:rPr>
        <w:t xml:space="preserve"> and</w:t>
      </w:r>
      <w:r>
        <w:rPr>
          <w:rFonts w:ascii="Times New Roman" w:hAnsi="Times New Roman" w:cs="Times New Roman"/>
          <w:sz w:val="22"/>
          <w:lang w:val="en-GB"/>
        </w:rPr>
        <w:t xml:space="preserve"> </w:t>
      </w:r>
      <w:r>
        <w:rPr>
          <w:rFonts w:ascii="Times New Roman" w:hAnsi="Times New Roman" w:cs="Times New Roman"/>
          <w:sz w:val="22"/>
        </w:rPr>
        <w:t>the</w:t>
      </w:r>
      <w:r>
        <w:rPr>
          <w:rFonts w:ascii="Times New Roman" w:hAnsi="Times New Roman" w:cs="Times New Roman" w:hint="eastAsia"/>
          <w:sz w:val="22"/>
        </w:rPr>
        <w:t xml:space="preserve"> eNB </w:t>
      </w:r>
      <w:r>
        <w:rPr>
          <w:rFonts w:ascii="Times New Roman" w:hAnsi="Times New Roman" w:cs="Times New Roman"/>
          <w:sz w:val="22"/>
        </w:rPr>
        <w:t xml:space="preserve">is </w:t>
      </w:r>
      <w:r>
        <w:rPr>
          <w:rFonts w:ascii="Times New Roman" w:hAnsi="Times New Roman" w:cs="Times New Roman" w:hint="eastAsia"/>
          <w:sz w:val="22"/>
        </w:rPr>
        <w:t>efficiently</w:t>
      </w:r>
      <w:r>
        <w:rPr>
          <w:rFonts w:ascii="Times New Roman" w:hAnsi="Times New Roman" w:cs="Times New Roman"/>
          <w:sz w:val="22"/>
        </w:rPr>
        <w:t xml:space="preserve"> able to</w:t>
      </w:r>
      <w:r>
        <w:rPr>
          <w:rFonts w:ascii="Times New Roman" w:hAnsi="Times New Roman" w:cs="Times New Roman" w:hint="eastAsia"/>
          <w:sz w:val="22"/>
        </w:rPr>
        <w:t xml:space="preserve"> configure resource pools based on </w:t>
      </w:r>
      <w:r w:rsidR="005F430F">
        <w:rPr>
          <w:rFonts w:ascii="Times New Roman" w:hAnsi="Times New Roman" w:cs="Times New Roman" w:hint="eastAsia"/>
          <w:sz w:val="22"/>
        </w:rPr>
        <w:t>the CBR reporting</w:t>
      </w:r>
      <w:r>
        <w:rPr>
          <w:rFonts w:ascii="Times New Roman" w:hAnsi="Times New Roman" w:cs="Times New Roman"/>
          <w:sz w:val="22"/>
        </w:rPr>
        <w:t>.</w:t>
      </w:r>
    </w:p>
    <w:p w14:paraId="34FB2961" w14:textId="6D1F75C0" w:rsidR="009B471D" w:rsidRPr="00760159" w:rsidRDefault="00DD57D5" w:rsidP="00BE3A0C">
      <w:pPr>
        <w:pStyle w:val="a6"/>
        <w:spacing w:line="312" w:lineRule="auto"/>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o</w:t>
      </w:r>
      <w:r>
        <w:rPr>
          <w:rFonts w:ascii="Times New Roman" w:hAnsi="Times New Roman" w:cs="Times New Roman" w:hint="eastAsia"/>
          <w:sz w:val="22"/>
          <w:lang w:val="en-GB"/>
        </w:rPr>
        <w:t>r RRC_IDLE UE t</w:t>
      </w:r>
      <w:r w:rsidR="001769B2">
        <w:rPr>
          <w:rFonts w:ascii="Times New Roman" w:hAnsi="Times New Roman" w:cs="Times New Roman" w:hint="eastAsia"/>
          <w:sz w:val="22"/>
          <w:lang w:val="en-GB"/>
        </w:rPr>
        <w:t>he CBR reporting</w:t>
      </w:r>
      <w:r w:rsidR="00E60550">
        <w:rPr>
          <w:rFonts w:ascii="Times New Roman" w:hAnsi="Times New Roman" w:cs="Times New Roman" w:hint="eastAsia"/>
          <w:sz w:val="22"/>
          <w:lang w:val="en-GB"/>
        </w:rPr>
        <w:t xml:space="preserve"> in periodic manner</w:t>
      </w:r>
      <w:r w:rsidR="001769B2">
        <w:rPr>
          <w:rFonts w:ascii="Times New Roman" w:hAnsi="Times New Roman" w:cs="Times New Roman" w:hint="eastAsia"/>
          <w:sz w:val="22"/>
          <w:lang w:val="en-GB"/>
        </w:rPr>
        <w:t xml:space="preserve"> does not have to be</w:t>
      </w:r>
      <w:r w:rsidR="00C66A0E">
        <w:rPr>
          <w:rFonts w:ascii="Times New Roman" w:hAnsi="Times New Roman" w:cs="Times New Roman" w:hint="eastAsia"/>
          <w:sz w:val="22"/>
          <w:lang w:val="en-GB"/>
        </w:rPr>
        <w:t xml:space="preserve"> </w:t>
      </w:r>
      <w:r w:rsidR="00E60550">
        <w:rPr>
          <w:rFonts w:ascii="Times New Roman" w:hAnsi="Times New Roman" w:cs="Times New Roman" w:hint="eastAsia"/>
          <w:sz w:val="22"/>
          <w:lang w:val="en-GB"/>
        </w:rPr>
        <w:t>required</w:t>
      </w:r>
      <w:r w:rsidR="001769B2">
        <w:rPr>
          <w:rFonts w:ascii="Times New Roman" w:hAnsi="Times New Roman" w:cs="Times New Roman" w:hint="eastAsia"/>
          <w:sz w:val="22"/>
          <w:lang w:val="en-GB"/>
        </w:rPr>
        <w:t xml:space="preserve">. The eNB should configure event-triggered reporting to RRC_IDLE UE, and the same </w:t>
      </w:r>
      <w:r w:rsidR="00E60550">
        <w:rPr>
          <w:rFonts w:ascii="Times New Roman" w:hAnsi="Times New Roman" w:cs="Times New Roman" w:hint="eastAsia"/>
          <w:sz w:val="22"/>
          <w:lang w:val="en-GB"/>
        </w:rPr>
        <w:t>event-triggered CBR r</w:t>
      </w:r>
      <w:r w:rsidR="001769B2">
        <w:rPr>
          <w:rFonts w:ascii="Times New Roman" w:hAnsi="Times New Roman" w:cs="Times New Roman" w:hint="eastAsia"/>
          <w:sz w:val="22"/>
          <w:lang w:val="en-GB"/>
        </w:rPr>
        <w:t xml:space="preserve">eporting </w:t>
      </w:r>
      <w:r w:rsidR="001769B2">
        <w:rPr>
          <w:rFonts w:ascii="Times New Roman" w:hAnsi="Times New Roman" w:cs="Times New Roman"/>
          <w:sz w:val="22"/>
          <w:lang w:val="en-GB"/>
        </w:rPr>
        <w:t>configuration</w:t>
      </w:r>
      <w:r w:rsidR="001769B2">
        <w:rPr>
          <w:rFonts w:ascii="Times New Roman" w:hAnsi="Times New Roman" w:cs="Times New Roman" w:hint="eastAsia"/>
          <w:sz w:val="22"/>
          <w:lang w:val="en-GB"/>
        </w:rPr>
        <w:t xml:space="preserve"> for RRC_Connected </w:t>
      </w:r>
      <w:r w:rsidR="00E60550">
        <w:rPr>
          <w:rFonts w:ascii="Times New Roman" w:hAnsi="Times New Roman" w:cs="Times New Roman" w:hint="eastAsia"/>
          <w:sz w:val="22"/>
          <w:lang w:val="en-GB"/>
        </w:rPr>
        <w:t xml:space="preserve">should be </w:t>
      </w:r>
      <w:r w:rsidR="00E60550">
        <w:rPr>
          <w:rFonts w:ascii="Times New Roman" w:hAnsi="Times New Roman" w:cs="Times New Roman"/>
          <w:sz w:val="22"/>
          <w:lang w:val="en-GB"/>
        </w:rPr>
        <w:t>applied</w:t>
      </w:r>
      <w:r w:rsidR="00E60550">
        <w:rPr>
          <w:rFonts w:ascii="Times New Roman" w:hAnsi="Times New Roman" w:cs="Times New Roman" w:hint="eastAsia"/>
          <w:sz w:val="22"/>
          <w:lang w:val="en-GB"/>
        </w:rPr>
        <w:t xml:space="preserve"> </w:t>
      </w:r>
      <w:r w:rsidR="00C66A0E">
        <w:rPr>
          <w:rFonts w:ascii="Times New Roman" w:hAnsi="Times New Roman" w:cs="Times New Roman" w:hint="eastAsia"/>
          <w:sz w:val="22"/>
          <w:lang w:val="en-GB"/>
        </w:rPr>
        <w:t xml:space="preserve">for RRC_IDLE. </w:t>
      </w:r>
      <w:r w:rsidR="00E60550">
        <w:rPr>
          <w:rFonts w:ascii="Times New Roman" w:hAnsi="Times New Roman" w:cs="Times New Roman"/>
          <w:sz w:val="22"/>
          <w:lang w:val="en-GB"/>
        </w:rPr>
        <w:t>I</w:t>
      </w:r>
      <w:r w:rsidR="00E60550">
        <w:rPr>
          <w:rFonts w:ascii="Times New Roman" w:hAnsi="Times New Roman" w:cs="Times New Roman" w:hint="eastAsia"/>
          <w:sz w:val="22"/>
          <w:lang w:val="en-GB"/>
        </w:rPr>
        <w:t>t is up to UE to trigger the CBR reporting aligning with DRX cycle.</w:t>
      </w:r>
    </w:p>
    <w:p w14:paraId="226F2D08" w14:textId="77777777" w:rsidR="003F63D8" w:rsidRPr="00F7391C" w:rsidRDefault="003F63D8" w:rsidP="007C7B38">
      <w:pPr>
        <w:rPr>
          <w:rFonts w:ascii="Times New Roman" w:hAnsi="Times New Roman" w:cs="Times New Roman"/>
          <w:b/>
          <w:sz w:val="22"/>
          <w:lang w:val="en-GB"/>
        </w:rPr>
      </w:pPr>
    </w:p>
    <w:p w14:paraId="71C7C713" w14:textId="77777777" w:rsidR="00E60550" w:rsidRDefault="00E91AAA" w:rsidP="00E91AAA">
      <w:pPr>
        <w:rPr>
          <w:rFonts w:ascii="Times New Roman" w:hAnsi="Times New Roman" w:cs="Times New Roman"/>
          <w:b/>
          <w:sz w:val="22"/>
          <w:lang w:val="en-GB"/>
        </w:rPr>
      </w:pPr>
      <w:r w:rsidRPr="007C7B38">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7C7B38">
        <w:rPr>
          <w:rFonts w:ascii="Times New Roman" w:hAnsi="Times New Roman" w:cs="Times New Roman"/>
          <w:b/>
          <w:sz w:val="22"/>
          <w:lang w:val="en-GB"/>
        </w:rPr>
        <w:t>:</w:t>
      </w:r>
      <w:r>
        <w:rPr>
          <w:rFonts w:ascii="Times New Roman" w:hAnsi="Times New Roman" w:cs="Times New Roman"/>
          <w:b/>
          <w:sz w:val="22"/>
          <w:lang w:val="en-GB"/>
        </w:rPr>
        <w:t xml:space="preserve"> </w:t>
      </w:r>
      <w:r w:rsidR="00E60550">
        <w:rPr>
          <w:rFonts w:ascii="Times New Roman" w:hAnsi="Times New Roman" w:cs="Times New Roman" w:hint="eastAsia"/>
          <w:b/>
          <w:sz w:val="22"/>
          <w:lang w:val="en-GB"/>
        </w:rPr>
        <w:t xml:space="preserve">the CBR event-triggered reporting should be configured for RRC_IDLE UE. </w:t>
      </w:r>
    </w:p>
    <w:p w14:paraId="26C046CF" w14:textId="0EDCB3FD" w:rsidR="005F430F" w:rsidRDefault="005F430F" w:rsidP="00E91AAA">
      <w:pPr>
        <w:rPr>
          <w:rFonts w:ascii="Times New Roman" w:hAnsi="Times New Roman" w:cs="Times New Roman"/>
          <w:b/>
          <w:sz w:val="22"/>
          <w:lang w:val="en-GB"/>
        </w:rPr>
      </w:pPr>
      <w:r>
        <w:rPr>
          <w:rFonts w:ascii="Times New Roman" w:hAnsi="Times New Roman" w:cs="Times New Roman" w:hint="eastAsia"/>
          <w:b/>
          <w:sz w:val="22"/>
          <w:lang w:val="en-GB"/>
        </w:rPr>
        <w:lastRenderedPageBreak/>
        <w:t xml:space="preserve">Proposal 3: the same CBR reporting configuration </w:t>
      </w:r>
      <w:r w:rsidR="003B2083">
        <w:rPr>
          <w:rFonts w:ascii="Times New Roman" w:hAnsi="Times New Roman" w:cs="Times New Roman" w:hint="eastAsia"/>
          <w:b/>
          <w:sz w:val="22"/>
          <w:lang w:val="en-GB"/>
        </w:rPr>
        <w:t>for RRC_Connected should be applied for RRC_IDLE.</w:t>
      </w:r>
    </w:p>
    <w:p w14:paraId="6F78B3E5" w14:textId="302CAD37" w:rsidR="007848B2" w:rsidRDefault="007848B2" w:rsidP="00DE2B11">
      <w:pPr>
        <w:pStyle w:val="a6"/>
        <w:spacing w:line="312" w:lineRule="auto"/>
        <w:jc w:val="left"/>
        <w:rPr>
          <w:rFonts w:ascii="Times New Roman" w:hAnsi="Times New Roman" w:cs="Times New Roman"/>
          <w:b/>
          <w:sz w:val="22"/>
          <w:lang w:val="en-GB"/>
        </w:rPr>
      </w:pPr>
    </w:p>
    <w:p w14:paraId="16DE7ED2" w14:textId="4D7A9F2D" w:rsidR="00165959" w:rsidRPr="003F63D8" w:rsidRDefault="00165959" w:rsidP="00DE2B11">
      <w:pPr>
        <w:pStyle w:val="a6"/>
        <w:spacing w:line="312" w:lineRule="auto"/>
        <w:jc w:val="left"/>
        <w:rPr>
          <w:rFonts w:ascii="Times New Roman" w:hAnsi="Times New Roman" w:cs="Times New Roman"/>
          <w:b/>
          <w:sz w:val="22"/>
          <w:lang w:val="en-GB"/>
        </w:rPr>
      </w:pPr>
    </w:p>
    <w:p w14:paraId="70B4064B" w14:textId="77777777" w:rsidR="00415E4B" w:rsidRDefault="00415E4B"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14:paraId="45625A71" w14:textId="46734D68" w:rsidR="00280AC9" w:rsidRDefault="00280AC9" w:rsidP="00F55635">
      <w:pPr>
        <w:pStyle w:val="a6"/>
        <w:spacing w:line="312" w:lineRule="auto"/>
        <w:jc w:val="left"/>
        <w:rPr>
          <w:rFonts w:ascii="Times New Roman" w:hAnsi="Times New Roman" w:cs="Times New Roman"/>
          <w:sz w:val="22"/>
        </w:rPr>
      </w:pPr>
      <w:r w:rsidRPr="00280AC9">
        <w:rPr>
          <w:rFonts w:ascii="Times New Roman" w:hAnsi="Times New Roman" w:cs="Times New Roman"/>
          <w:sz w:val="22"/>
        </w:rPr>
        <w:t xml:space="preserve">In conclusion, we propose to agree the followings for </w:t>
      </w:r>
      <w:r w:rsidR="003B2083">
        <w:rPr>
          <w:rFonts w:ascii="Times New Roman" w:hAnsi="Times New Roman" w:cs="Times New Roman" w:hint="eastAsia"/>
          <w:sz w:val="22"/>
        </w:rPr>
        <w:t xml:space="preserve">CBR measurement and reporting </w:t>
      </w:r>
      <w:r w:rsidRPr="00280AC9">
        <w:rPr>
          <w:rFonts w:ascii="Times New Roman" w:hAnsi="Times New Roman" w:cs="Times New Roman"/>
          <w:sz w:val="22"/>
        </w:rPr>
        <w:t>in V2X</w:t>
      </w:r>
      <w:r>
        <w:rPr>
          <w:rFonts w:ascii="Times New Roman" w:hAnsi="Times New Roman" w:cs="Times New Roman"/>
          <w:sz w:val="22"/>
        </w:rPr>
        <w:t>:</w:t>
      </w:r>
    </w:p>
    <w:p w14:paraId="693469CE" w14:textId="77777777" w:rsidR="009B471D" w:rsidRDefault="009B471D" w:rsidP="009B471D">
      <w:pPr>
        <w:rPr>
          <w:rFonts w:ascii="Times New Roman" w:hAnsi="Times New Roman" w:cs="Times New Roman"/>
          <w:b/>
          <w:sz w:val="22"/>
          <w:lang w:val="en-GB"/>
        </w:rPr>
      </w:pPr>
    </w:p>
    <w:p w14:paraId="21F1FFF5" w14:textId="77777777" w:rsidR="003B2083" w:rsidRDefault="003B2083" w:rsidP="003B2083">
      <w:pPr>
        <w:pStyle w:val="Observation"/>
        <w:ind w:left="1701" w:hanging="1701"/>
        <w:rPr>
          <w:rFonts w:eastAsiaTheme="minorEastAsia"/>
          <w:lang w:eastAsia="ko-KR"/>
        </w:rPr>
      </w:pPr>
      <w:r w:rsidRPr="003F63D8">
        <w:rPr>
          <w:rFonts w:eastAsiaTheme="minorEastAsia"/>
          <w:lang w:eastAsia="ko-KR"/>
        </w:rPr>
        <w:t xml:space="preserve">Observation 1: </w:t>
      </w:r>
      <w:r w:rsidRPr="00321CDF">
        <w:rPr>
          <w:rFonts w:ascii="Times New Roman" w:eastAsiaTheme="minorEastAsia" w:hAnsi="Times New Roman"/>
          <w:bCs w:val="0"/>
          <w:kern w:val="2"/>
          <w:sz w:val="22"/>
          <w:szCs w:val="22"/>
          <w:lang w:eastAsia="ko-KR"/>
        </w:rPr>
        <w:t>RRC_IDLE UEs should be configured with the mapping table for TX pool(s) in idle mode.</w:t>
      </w:r>
      <w:r>
        <w:rPr>
          <w:rFonts w:eastAsiaTheme="minorEastAsia" w:hint="eastAsia"/>
          <w:lang w:eastAsia="ko-KR"/>
        </w:rPr>
        <w:t xml:space="preserve"> </w:t>
      </w:r>
    </w:p>
    <w:p w14:paraId="5BF52142" w14:textId="77777777" w:rsidR="003B2083" w:rsidRDefault="003B2083" w:rsidP="003B2083">
      <w:pPr>
        <w:rPr>
          <w:rFonts w:ascii="Times New Roman" w:hAnsi="Times New Roman" w:cs="Times New Roman"/>
          <w:b/>
          <w:sz w:val="22"/>
          <w:lang w:val="en-GB"/>
        </w:rPr>
      </w:pPr>
      <w:r w:rsidRPr="007C7B38">
        <w:rPr>
          <w:rFonts w:ascii="Times New Roman" w:hAnsi="Times New Roman" w:cs="Times New Roman"/>
          <w:b/>
          <w:sz w:val="22"/>
          <w:lang w:val="en-GB"/>
        </w:rPr>
        <w:t>Proposal 1:</w:t>
      </w:r>
      <w:r>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the eNB should configure UE with the CBR </w:t>
      </w:r>
      <w:r>
        <w:rPr>
          <w:rFonts w:ascii="Times New Roman" w:hAnsi="Times New Roman" w:cs="Times New Roman"/>
          <w:b/>
          <w:sz w:val="22"/>
          <w:lang w:val="en-GB"/>
        </w:rPr>
        <w:t>measurement</w:t>
      </w:r>
      <w:r>
        <w:rPr>
          <w:rFonts w:ascii="Times New Roman" w:hAnsi="Times New Roman" w:cs="Times New Roman" w:hint="eastAsia"/>
          <w:b/>
          <w:sz w:val="22"/>
          <w:lang w:val="en-GB"/>
        </w:rPr>
        <w:t xml:space="preserve"> </w:t>
      </w:r>
      <w:r>
        <w:rPr>
          <w:rFonts w:ascii="Times New Roman" w:hAnsi="Times New Roman" w:cs="Times New Roman"/>
          <w:b/>
          <w:sz w:val="22"/>
          <w:lang w:val="en-GB"/>
        </w:rPr>
        <w:t>including</w:t>
      </w:r>
      <w:r>
        <w:rPr>
          <w:rFonts w:ascii="Times New Roman" w:hAnsi="Times New Roman" w:cs="Times New Roman" w:hint="eastAsia"/>
          <w:b/>
          <w:sz w:val="22"/>
          <w:lang w:val="en-GB"/>
        </w:rPr>
        <w:t xml:space="preserve"> at least TX pool used in idle mode. </w:t>
      </w:r>
    </w:p>
    <w:p w14:paraId="5B924C88" w14:textId="77777777" w:rsidR="003B2083" w:rsidRDefault="003B2083" w:rsidP="003B2083">
      <w:pPr>
        <w:rPr>
          <w:rFonts w:ascii="Times New Roman" w:hAnsi="Times New Roman" w:cs="Times New Roman"/>
          <w:b/>
          <w:sz w:val="22"/>
          <w:lang w:val="en-GB"/>
        </w:rPr>
      </w:pPr>
      <w:r w:rsidRPr="007C7B38">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7C7B38">
        <w:rPr>
          <w:rFonts w:ascii="Times New Roman" w:hAnsi="Times New Roman" w:cs="Times New Roman"/>
          <w:b/>
          <w:sz w:val="22"/>
          <w:lang w:val="en-GB"/>
        </w:rPr>
        <w:t>:</w:t>
      </w:r>
      <w:r>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the CBR event-triggered reporting should be configured for RRC_IDLE UE. </w:t>
      </w:r>
    </w:p>
    <w:p w14:paraId="168EE689" w14:textId="77777777" w:rsidR="003B2083" w:rsidRDefault="003B2083" w:rsidP="003B2083">
      <w:pPr>
        <w:rPr>
          <w:rFonts w:ascii="Times New Roman" w:hAnsi="Times New Roman" w:cs="Times New Roman"/>
          <w:b/>
          <w:sz w:val="22"/>
          <w:lang w:val="en-GB"/>
        </w:rPr>
      </w:pPr>
      <w:r>
        <w:rPr>
          <w:rFonts w:ascii="Times New Roman" w:hAnsi="Times New Roman" w:cs="Times New Roman" w:hint="eastAsia"/>
          <w:b/>
          <w:sz w:val="22"/>
          <w:lang w:val="en-GB"/>
        </w:rPr>
        <w:t>Proposal 3: the same CBR reporting configuration for RRC_Connected should be applied for RRC_IDLE.</w:t>
      </w:r>
    </w:p>
    <w:p w14:paraId="0DCD8EF5" w14:textId="77777777" w:rsidR="003B2083" w:rsidRPr="003B2083" w:rsidRDefault="003B2083" w:rsidP="009B471D">
      <w:pPr>
        <w:rPr>
          <w:rFonts w:ascii="Times New Roman" w:hAnsi="Times New Roman" w:cs="Times New Roman"/>
          <w:b/>
          <w:sz w:val="22"/>
          <w:lang w:val="en-GB"/>
        </w:rPr>
      </w:pPr>
    </w:p>
    <w:p w14:paraId="1ACBEBFD" w14:textId="77777777" w:rsidR="009B471D" w:rsidRDefault="009B471D" w:rsidP="00F55635">
      <w:pPr>
        <w:pStyle w:val="a6"/>
        <w:spacing w:line="312" w:lineRule="auto"/>
        <w:jc w:val="left"/>
        <w:rPr>
          <w:rFonts w:ascii="Times New Roman" w:hAnsi="Times New Roman" w:cs="Times New Roman"/>
          <w:sz w:val="22"/>
        </w:rPr>
      </w:pPr>
    </w:p>
    <w:p w14:paraId="1C290ED2" w14:textId="77777777" w:rsidR="000A2C61" w:rsidRDefault="000A2C61" w:rsidP="000A2C61">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14:paraId="6E2A53D2" w14:textId="77777777" w:rsidR="000A2C61" w:rsidRDefault="000A2C61" w:rsidP="000A2C61">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 xml:space="preserve"> </w:t>
      </w:r>
      <w:r w:rsidRPr="00485C0B">
        <w:rPr>
          <w:rFonts w:ascii="Times New Roman" w:hAnsi="Times New Roman" w:cs="Times New Roman"/>
          <w:sz w:val="22"/>
        </w:rPr>
        <w:t>3GPP TSG-RAN WG</w:t>
      </w:r>
      <w:r>
        <w:rPr>
          <w:rFonts w:ascii="Times New Roman" w:hAnsi="Times New Roman" w:cs="Times New Roman"/>
          <w:sz w:val="22"/>
        </w:rPr>
        <w:t>1</w:t>
      </w:r>
      <w:r w:rsidRPr="00485C0B">
        <w:rPr>
          <w:rFonts w:ascii="Times New Roman" w:hAnsi="Times New Roman" w:cs="Times New Roman"/>
          <w:sz w:val="22"/>
        </w:rPr>
        <w:t xml:space="preserve"> Meeting #</w:t>
      </w:r>
      <w:r>
        <w:rPr>
          <w:rFonts w:ascii="Times New Roman" w:hAnsi="Times New Roman" w:cs="Times New Roman"/>
          <w:sz w:val="22"/>
        </w:rPr>
        <w:t xml:space="preserve">86bis, </w:t>
      </w:r>
      <w:r w:rsidRPr="00485C0B">
        <w:rPr>
          <w:rFonts w:ascii="Times New Roman" w:hAnsi="Times New Roman" w:cs="Times New Roman"/>
          <w:sz w:val="22"/>
        </w:rPr>
        <w:t xml:space="preserve">Report from </w:t>
      </w:r>
      <w:r>
        <w:rPr>
          <w:rFonts w:ascii="Times New Roman" w:hAnsi="Times New Roman" w:cs="Times New Roman"/>
          <w:sz w:val="22"/>
        </w:rPr>
        <w:t>LTE-based V2X service</w:t>
      </w:r>
    </w:p>
    <w:p w14:paraId="68DE8EB5" w14:textId="0E7F87D5" w:rsidR="001E2184" w:rsidRDefault="000A2C61" w:rsidP="000A2C61">
      <w:pPr>
        <w:pStyle w:val="a6"/>
        <w:spacing w:line="312" w:lineRule="auto"/>
        <w:ind w:left="432" w:hanging="432"/>
        <w:jc w:val="left"/>
        <w:rPr>
          <w:rFonts w:ascii="Times New Roman" w:hAnsi="Times New Roman" w:cs="Times New Roman"/>
          <w:sz w:val="22"/>
        </w:rPr>
      </w:pPr>
      <w:r>
        <w:rPr>
          <w:rFonts w:ascii="Times New Roman" w:hAnsi="Times New Roman" w:cs="Times New Roman"/>
          <w:sz w:val="22"/>
        </w:rPr>
        <w:t>[</w:t>
      </w:r>
      <w:r w:rsidR="00472697">
        <w:rPr>
          <w:rFonts w:ascii="Times New Roman" w:hAnsi="Times New Roman" w:cs="Times New Roman"/>
          <w:sz w:val="22"/>
        </w:rPr>
        <w:t>2</w:t>
      </w:r>
      <w:r>
        <w:rPr>
          <w:rFonts w:ascii="Times New Roman" w:hAnsi="Times New Roman" w:cs="Times New Roman"/>
          <w:sz w:val="22"/>
        </w:rPr>
        <w:t xml:space="preserve">] </w:t>
      </w:r>
      <w:r w:rsidR="009725C7" w:rsidRPr="009725C7">
        <w:rPr>
          <w:rFonts w:ascii="Times New Roman" w:hAnsi="Times New Roman" w:cs="Times New Roman"/>
          <w:sz w:val="22"/>
        </w:rPr>
        <w:t>Minutes of RAN2 LTE V2X Conference call 2 (January 23rd)</w:t>
      </w:r>
    </w:p>
    <w:p w14:paraId="3CFF5EDE" w14:textId="62FEB849" w:rsidR="00472697" w:rsidRDefault="00472697" w:rsidP="00472697">
      <w:pPr>
        <w:pStyle w:val="a6"/>
        <w:spacing w:line="312" w:lineRule="auto"/>
        <w:ind w:left="432" w:hanging="432"/>
        <w:jc w:val="left"/>
        <w:rPr>
          <w:rFonts w:ascii="Times New Roman" w:hAnsi="Times New Roman" w:cs="Times New Roman"/>
          <w:sz w:val="22"/>
        </w:rPr>
      </w:pPr>
      <w:r>
        <w:rPr>
          <w:rFonts w:ascii="Times New Roman" w:hAnsi="Times New Roman" w:cs="Times New Roman"/>
          <w:sz w:val="22"/>
        </w:rPr>
        <w:t>[3] 3GPP TS 36.300 v14.0.0 (2016-09) E-UTRA and E-UTRAN overall description; Stage 2 (Rel. 14)</w:t>
      </w:r>
    </w:p>
    <w:p w14:paraId="2ECB0158" w14:textId="77777777" w:rsidR="00472697" w:rsidRPr="00472697" w:rsidRDefault="00472697" w:rsidP="000A2C61">
      <w:pPr>
        <w:pStyle w:val="a6"/>
        <w:spacing w:line="312" w:lineRule="auto"/>
        <w:ind w:left="432" w:hanging="432"/>
        <w:jc w:val="left"/>
        <w:rPr>
          <w:rFonts w:ascii="Times New Roman" w:hAnsi="Times New Roman" w:cs="Times New Roman"/>
          <w:sz w:val="22"/>
        </w:rPr>
      </w:pPr>
    </w:p>
    <w:sectPr w:rsidR="00472697" w:rsidRPr="0047269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308C7" w14:textId="77777777" w:rsidR="00212178" w:rsidRDefault="00212178" w:rsidP="00C82ABC">
      <w:pPr>
        <w:spacing w:after="0" w:line="240" w:lineRule="auto"/>
      </w:pPr>
      <w:r>
        <w:separator/>
      </w:r>
    </w:p>
  </w:endnote>
  <w:endnote w:type="continuationSeparator" w:id="0">
    <w:p w14:paraId="075CC3F1" w14:textId="77777777" w:rsidR="00212178" w:rsidRDefault="00212178"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0C15C" w14:textId="77777777" w:rsidR="00212178" w:rsidRDefault="00212178" w:rsidP="00C82ABC">
      <w:pPr>
        <w:spacing w:after="0" w:line="240" w:lineRule="auto"/>
      </w:pPr>
      <w:r>
        <w:separator/>
      </w:r>
    </w:p>
  </w:footnote>
  <w:footnote w:type="continuationSeparator" w:id="0">
    <w:p w14:paraId="10044F57" w14:textId="77777777" w:rsidR="00212178" w:rsidRDefault="00212178"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D7984"/>
    <w:multiLevelType w:val="hybridMultilevel"/>
    <w:tmpl w:val="79948E22"/>
    <w:lvl w:ilvl="0" w:tplc="71CABAF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D00C8D"/>
    <w:multiLevelType w:val="hybridMultilevel"/>
    <w:tmpl w:val="248A3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E929E6"/>
    <w:multiLevelType w:val="hybridMultilevel"/>
    <w:tmpl w:val="493048A4"/>
    <w:lvl w:ilvl="0" w:tplc="8ACC2312">
      <w:start w:val="10"/>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8872A94"/>
    <w:multiLevelType w:val="hybridMultilevel"/>
    <w:tmpl w:val="67860356"/>
    <w:lvl w:ilvl="0" w:tplc="9754F28E">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0A114C"/>
    <w:multiLevelType w:val="hybridMultilevel"/>
    <w:tmpl w:val="9D66E76C"/>
    <w:lvl w:ilvl="0" w:tplc="8ACC2312">
      <w:start w:val="10"/>
      <w:numFmt w:val="bullet"/>
      <w:lvlText w:val="-"/>
      <w:lvlJc w:val="left"/>
      <w:pPr>
        <w:ind w:left="910" w:hanging="400"/>
      </w:pPr>
      <w:rPr>
        <w:rFonts w:ascii="Times New Roman" w:eastAsia="맑은 고딕"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708E3DCD"/>
    <w:multiLevelType w:val="hybridMultilevel"/>
    <w:tmpl w:val="8CC8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18"/>
  </w:num>
  <w:num w:numId="4">
    <w:abstractNumId w:val="12"/>
  </w:num>
  <w:num w:numId="5">
    <w:abstractNumId w:val="9"/>
  </w:num>
  <w:num w:numId="6">
    <w:abstractNumId w:val="2"/>
  </w:num>
  <w:num w:numId="7">
    <w:abstractNumId w:val="5"/>
  </w:num>
  <w:num w:numId="8">
    <w:abstractNumId w:val="17"/>
  </w:num>
  <w:num w:numId="9">
    <w:abstractNumId w:val="16"/>
  </w:num>
  <w:num w:numId="10">
    <w:abstractNumId w:val="15"/>
  </w:num>
  <w:num w:numId="11">
    <w:abstractNumId w:val="7"/>
  </w:num>
  <w:num w:numId="12">
    <w:abstractNumId w:val="19"/>
  </w:num>
  <w:num w:numId="13">
    <w:abstractNumId w:val="10"/>
  </w:num>
  <w:num w:numId="14">
    <w:abstractNumId w:val="14"/>
  </w:num>
  <w:num w:numId="15">
    <w:abstractNumId w:val="3"/>
  </w:num>
  <w:num w:numId="16">
    <w:abstractNumId w:val="13"/>
  </w:num>
  <w:num w:numId="17">
    <w:abstractNumId w:val="11"/>
  </w:num>
  <w:num w:numId="18">
    <w:abstractNumId w:val="11"/>
  </w:num>
  <w:num w:numId="19">
    <w:abstractNumId w:val="8"/>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523"/>
    <w:rsid w:val="0001114C"/>
    <w:rsid w:val="00011866"/>
    <w:rsid w:val="00024049"/>
    <w:rsid w:val="00025C6A"/>
    <w:rsid w:val="00027423"/>
    <w:rsid w:val="000301EB"/>
    <w:rsid w:val="00033BE2"/>
    <w:rsid w:val="00034D38"/>
    <w:rsid w:val="00040AF2"/>
    <w:rsid w:val="00045C2F"/>
    <w:rsid w:val="00060606"/>
    <w:rsid w:val="00061F7A"/>
    <w:rsid w:val="00062269"/>
    <w:rsid w:val="00067A5F"/>
    <w:rsid w:val="00072405"/>
    <w:rsid w:val="0008093C"/>
    <w:rsid w:val="0009101D"/>
    <w:rsid w:val="000A2C61"/>
    <w:rsid w:val="000B6557"/>
    <w:rsid w:val="000B7104"/>
    <w:rsid w:val="000C7739"/>
    <w:rsid w:val="000D4334"/>
    <w:rsid w:val="000E4350"/>
    <w:rsid w:val="000F1B1D"/>
    <w:rsid w:val="000F307A"/>
    <w:rsid w:val="001079A2"/>
    <w:rsid w:val="00110CA0"/>
    <w:rsid w:val="00114071"/>
    <w:rsid w:val="00132286"/>
    <w:rsid w:val="00133657"/>
    <w:rsid w:val="00143889"/>
    <w:rsid w:val="00143933"/>
    <w:rsid w:val="00165959"/>
    <w:rsid w:val="00165B3F"/>
    <w:rsid w:val="00170431"/>
    <w:rsid w:val="00175CEF"/>
    <w:rsid w:val="001769B2"/>
    <w:rsid w:val="001845F0"/>
    <w:rsid w:val="00191BD4"/>
    <w:rsid w:val="00193D37"/>
    <w:rsid w:val="001A78AD"/>
    <w:rsid w:val="001B1681"/>
    <w:rsid w:val="001C3FA2"/>
    <w:rsid w:val="001C52B7"/>
    <w:rsid w:val="001D2060"/>
    <w:rsid w:val="001E2184"/>
    <w:rsid w:val="001F20B7"/>
    <w:rsid w:val="001F7F7E"/>
    <w:rsid w:val="0020413E"/>
    <w:rsid w:val="00212178"/>
    <w:rsid w:val="00225131"/>
    <w:rsid w:val="00241F43"/>
    <w:rsid w:val="0024462D"/>
    <w:rsid w:val="0024554C"/>
    <w:rsid w:val="002470EE"/>
    <w:rsid w:val="00264A6C"/>
    <w:rsid w:val="00280AC9"/>
    <w:rsid w:val="00284BD2"/>
    <w:rsid w:val="002917B7"/>
    <w:rsid w:val="002A66A5"/>
    <w:rsid w:val="002C604C"/>
    <w:rsid w:val="002C724B"/>
    <w:rsid w:val="002E3131"/>
    <w:rsid w:val="002F54D5"/>
    <w:rsid w:val="003019F3"/>
    <w:rsid w:val="00306048"/>
    <w:rsid w:val="003111DA"/>
    <w:rsid w:val="003148E9"/>
    <w:rsid w:val="00321CDF"/>
    <w:rsid w:val="00322595"/>
    <w:rsid w:val="003231B2"/>
    <w:rsid w:val="00325E42"/>
    <w:rsid w:val="003310A8"/>
    <w:rsid w:val="003527A1"/>
    <w:rsid w:val="00355BDE"/>
    <w:rsid w:val="0036197A"/>
    <w:rsid w:val="00363A83"/>
    <w:rsid w:val="003A1F0E"/>
    <w:rsid w:val="003B0BD9"/>
    <w:rsid w:val="003B2083"/>
    <w:rsid w:val="003C4C12"/>
    <w:rsid w:val="003D52FC"/>
    <w:rsid w:val="003D6512"/>
    <w:rsid w:val="003F604C"/>
    <w:rsid w:val="003F63D8"/>
    <w:rsid w:val="00415E4B"/>
    <w:rsid w:val="0043327F"/>
    <w:rsid w:val="00435799"/>
    <w:rsid w:val="00440514"/>
    <w:rsid w:val="004601D7"/>
    <w:rsid w:val="00462B62"/>
    <w:rsid w:val="00472697"/>
    <w:rsid w:val="0047451B"/>
    <w:rsid w:val="00474849"/>
    <w:rsid w:val="00485C0B"/>
    <w:rsid w:val="004860A9"/>
    <w:rsid w:val="00486247"/>
    <w:rsid w:val="004A2479"/>
    <w:rsid w:val="004B2471"/>
    <w:rsid w:val="004B330B"/>
    <w:rsid w:val="004C0293"/>
    <w:rsid w:val="004C7C63"/>
    <w:rsid w:val="004D4DDD"/>
    <w:rsid w:val="004E0853"/>
    <w:rsid w:val="004E5F7E"/>
    <w:rsid w:val="00507D0C"/>
    <w:rsid w:val="00530498"/>
    <w:rsid w:val="005305CD"/>
    <w:rsid w:val="0055196F"/>
    <w:rsid w:val="00555CE1"/>
    <w:rsid w:val="00562205"/>
    <w:rsid w:val="00565A63"/>
    <w:rsid w:val="0057093D"/>
    <w:rsid w:val="005776CE"/>
    <w:rsid w:val="00591C5F"/>
    <w:rsid w:val="00593147"/>
    <w:rsid w:val="00595FB5"/>
    <w:rsid w:val="005A7477"/>
    <w:rsid w:val="005B24D1"/>
    <w:rsid w:val="005C4F3B"/>
    <w:rsid w:val="005D58FD"/>
    <w:rsid w:val="005F3597"/>
    <w:rsid w:val="005F430F"/>
    <w:rsid w:val="005F5835"/>
    <w:rsid w:val="00600E3D"/>
    <w:rsid w:val="006035AE"/>
    <w:rsid w:val="006048D7"/>
    <w:rsid w:val="00614701"/>
    <w:rsid w:val="00620385"/>
    <w:rsid w:val="00635564"/>
    <w:rsid w:val="006476B4"/>
    <w:rsid w:val="00652212"/>
    <w:rsid w:val="00663178"/>
    <w:rsid w:val="0067332A"/>
    <w:rsid w:val="00673930"/>
    <w:rsid w:val="00684031"/>
    <w:rsid w:val="00691699"/>
    <w:rsid w:val="00692F18"/>
    <w:rsid w:val="00693D9D"/>
    <w:rsid w:val="00693DEE"/>
    <w:rsid w:val="006963A0"/>
    <w:rsid w:val="00696509"/>
    <w:rsid w:val="006A7F75"/>
    <w:rsid w:val="006B49B8"/>
    <w:rsid w:val="006C278D"/>
    <w:rsid w:val="006D0B8C"/>
    <w:rsid w:val="006F5252"/>
    <w:rsid w:val="006F59B5"/>
    <w:rsid w:val="00711363"/>
    <w:rsid w:val="00734365"/>
    <w:rsid w:val="007361E5"/>
    <w:rsid w:val="00736E7C"/>
    <w:rsid w:val="00747EF8"/>
    <w:rsid w:val="00760159"/>
    <w:rsid w:val="00761721"/>
    <w:rsid w:val="00774D03"/>
    <w:rsid w:val="007848B2"/>
    <w:rsid w:val="007A6C57"/>
    <w:rsid w:val="007C1EB1"/>
    <w:rsid w:val="007C7B38"/>
    <w:rsid w:val="007D37CA"/>
    <w:rsid w:val="007E4655"/>
    <w:rsid w:val="007E7A88"/>
    <w:rsid w:val="007F7275"/>
    <w:rsid w:val="00813F07"/>
    <w:rsid w:val="00816115"/>
    <w:rsid w:val="00831FD1"/>
    <w:rsid w:val="00841A16"/>
    <w:rsid w:val="008475D4"/>
    <w:rsid w:val="00871EE8"/>
    <w:rsid w:val="008743FB"/>
    <w:rsid w:val="00876AD8"/>
    <w:rsid w:val="008A4CE1"/>
    <w:rsid w:val="008A5029"/>
    <w:rsid w:val="008B1895"/>
    <w:rsid w:val="008C5CFA"/>
    <w:rsid w:val="008E40BB"/>
    <w:rsid w:val="008F06B9"/>
    <w:rsid w:val="008F0928"/>
    <w:rsid w:val="008F1ABC"/>
    <w:rsid w:val="008F32ED"/>
    <w:rsid w:val="00911BB1"/>
    <w:rsid w:val="00925CC4"/>
    <w:rsid w:val="009371A5"/>
    <w:rsid w:val="00941B8E"/>
    <w:rsid w:val="009441A8"/>
    <w:rsid w:val="0096315B"/>
    <w:rsid w:val="009725C7"/>
    <w:rsid w:val="00985523"/>
    <w:rsid w:val="00990D92"/>
    <w:rsid w:val="009951AC"/>
    <w:rsid w:val="009A5563"/>
    <w:rsid w:val="009A6DDD"/>
    <w:rsid w:val="009B471D"/>
    <w:rsid w:val="009C0215"/>
    <w:rsid w:val="009C50D4"/>
    <w:rsid w:val="009E3353"/>
    <w:rsid w:val="009E55C7"/>
    <w:rsid w:val="009F0D3C"/>
    <w:rsid w:val="009F5668"/>
    <w:rsid w:val="00A0485A"/>
    <w:rsid w:val="00A209C2"/>
    <w:rsid w:val="00A23D31"/>
    <w:rsid w:val="00A24E2F"/>
    <w:rsid w:val="00A25698"/>
    <w:rsid w:val="00A36C71"/>
    <w:rsid w:val="00A43282"/>
    <w:rsid w:val="00A4566A"/>
    <w:rsid w:val="00A54069"/>
    <w:rsid w:val="00A666DC"/>
    <w:rsid w:val="00A70BB5"/>
    <w:rsid w:val="00A80B1D"/>
    <w:rsid w:val="00A819DC"/>
    <w:rsid w:val="00A86E42"/>
    <w:rsid w:val="00A9713F"/>
    <w:rsid w:val="00A97E82"/>
    <w:rsid w:val="00AA12C2"/>
    <w:rsid w:val="00AB2CCD"/>
    <w:rsid w:val="00AC29AA"/>
    <w:rsid w:val="00AC4F0C"/>
    <w:rsid w:val="00AC6E35"/>
    <w:rsid w:val="00AC7F72"/>
    <w:rsid w:val="00AE4B73"/>
    <w:rsid w:val="00AF567B"/>
    <w:rsid w:val="00AF58E9"/>
    <w:rsid w:val="00AF6795"/>
    <w:rsid w:val="00B13F8F"/>
    <w:rsid w:val="00B15AFF"/>
    <w:rsid w:val="00B15F2D"/>
    <w:rsid w:val="00B160FD"/>
    <w:rsid w:val="00B1695D"/>
    <w:rsid w:val="00B448CE"/>
    <w:rsid w:val="00B45855"/>
    <w:rsid w:val="00B46276"/>
    <w:rsid w:val="00B47B6A"/>
    <w:rsid w:val="00B71A82"/>
    <w:rsid w:val="00B73D46"/>
    <w:rsid w:val="00B75042"/>
    <w:rsid w:val="00B83644"/>
    <w:rsid w:val="00B91EA2"/>
    <w:rsid w:val="00BB14E2"/>
    <w:rsid w:val="00BB23CC"/>
    <w:rsid w:val="00BB60D7"/>
    <w:rsid w:val="00BC0F82"/>
    <w:rsid w:val="00BD0265"/>
    <w:rsid w:val="00BD3BF1"/>
    <w:rsid w:val="00BE2C8F"/>
    <w:rsid w:val="00BE3A0C"/>
    <w:rsid w:val="00BF4BCA"/>
    <w:rsid w:val="00C112ED"/>
    <w:rsid w:val="00C32DB6"/>
    <w:rsid w:val="00C57C2B"/>
    <w:rsid w:val="00C66A0E"/>
    <w:rsid w:val="00C77255"/>
    <w:rsid w:val="00C77BDF"/>
    <w:rsid w:val="00C77D0B"/>
    <w:rsid w:val="00C82ABC"/>
    <w:rsid w:val="00C82CDD"/>
    <w:rsid w:val="00C95E79"/>
    <w:rsid w:val="00CA1651"/>
    <w:rsid w:val="00CA43D6"/>
    <w:rsid w:val="00CA6B7C"/>
    <w:rsid w:val="00CB333F"/>
    <w:rsid w:val="00CC19AD"/>
    <w:rsid w:val="00CE6A2A"/>
    <w:rsid w:val="00CF0528"/>
    <w:rsid w:val="00CF104F"/>
    <w:rsid w:val="00CF7CB6"/>
    <w:rsid w:val="00D13FDF"/>
    <w:rsid w:val="00D3394F"/>
    <w:rsid w:val="00D36CD6"/>
    <w:rsid w:val="00D52B9A"/>
    <w:rsid w:val="00D63941"/>
    <w:rsid w:val="00D7188A"/>
    <w:rsid w:val="00D72664"/>
    <w:rsid w:val="00D76C64"/>
    <w:rsid w:val="00D7708E"/>
    <w:rsid w:val="00D824BC"/>
    <w:rsid w:val="00D92D02"/>
    <w:rsid w:val="00D94E16"/>
    <w:rsid w:val="00D95215"/>
    <w:rsid w:val="00D9777D"/>
    <w:rsid w:val="00DA1FC8"/>
    <w:rsid w:val="00DA6E8C"/>
    <w:rsid w:val="00DC01A6"/>
    <w:rsid w:val="00DC1836"/>
    <w:rsid w:val="00DC265C"/>
    <w:rsid w:val="00DC5C73"/>
    <w:rsid w:val="00DC7F8F"/>
    <w:rsid w:val="00DD1CB3"/>
    <w:rsid w:val="00DD2CC8"/>
    <w:rsid w:val="00DD57D5"/>
    <w:rsid w:val="00DD74BB"/>
    <w:rsid w:val="00DE2B11"/>
    <w:rsid w:val="00E03B1E"/>
    <w:rsid w:val="00E045DD"/>
    <w:rsid w:val="00E1081C"/>
    <w:rsid w:val="00E1276E"/>
    <w:rsid w:val="00E12997"/>
    <w:rsid w:val="00E17E09"/>
    <w:rsid w:val="00E367FC"/>
    <w:rsid w:val="00E41249"/>
    <w:rsid w:val="00E456A8"/>
    <w:rsid w:val="00E552A7"/>
    <w:rsid w:val="00E55EF2"/>
    <w:rsid w:val="00E574FD"/>
    <w:rsid w:val="00E60550"/>
    <w:rsid w:val="00E65370"/>
    <w:rsid w:val="00E67FDB"/>
    <w:rsid w:val="00E82715"/>
    <w:rsid w:val="00E91AAA"/>
    <w:rsid w:val="00E95907"/>
    <w:rsid w:val="00EC1676"/>
    <w:rsid w:val="00EC50F5"/>
    <w:rsid w:val="00EC6028"/>
    <w:rsid w:val="00ED5024"/>
    <w:rsid w:val="00EE38A4"/>
    <w:rsid w:val="00EE7871"/>
    <w:rsid w:val="00EF13E6"/>
    <w:rsid w:val="00EF2F13"/>
    <w:rsid w:val="00EF53EA"/>
    <w:rsid w:val="00EF5743"/>
    <w:rsid w:val="00F061C9"/>
    <w:rsid w:val="00F121BA"/>
    <w:rsid w:val="00F26611"/>
    <w:rsid w:val="00F31F3D"/>
    <w:rsid w:val="00F45EEB"/>
    <w:rsid w:val="00F46AE3"/>
    <w:rsid w:val="00F548E3"/>
    <w:rsid w:val="00F55635"/>
    <w:rsid w:val="00F56514"/>
    <w:rsid w:val="00F71B59"/>
    <w:rsid w:val="00F7391C"/>
    <w:rsid w:val="00F83F81"/>
    <w:rsid w:val="00F84A04"/>
    <w:rsid w:val="00F96794"/>
    <w:rsid w:val="00FB47E1"/>
    <w:rsid w:val="00FD50DC"/>
    <w:rsid w:val="00FD65C1"/>
    <w:rsid w:val="00FE47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F24D6"/>
  <w15:docId w15:val="{09C40E19-B2ED-46C6-90CC-594B0F93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47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rPr>
  </w:style>
  <w:style w:type="character" w:customStyle="1" w:styleId="PLChar">
    <w:name w:val="PL Char"/>
    <w:link w:val="PL"/>
    <w:rsid w:val="002470EE"/>
    <w:rPr>
      <w:rFonts w:ascii="Courier New" w:eastAsia="맑은 고딕" w:hAnsi="Courier New" w:cs="Times New Roman"/>
      <w:noProof/>
      <w:kern w:val="0"/>
      <w:sz w:val="16"/>
      <w:szCs w:val="20"/>
      <w:lang w:val="en-GB"/>
    </w:rPr>
  </w:style>
  <w:style w:type="paragraph" w:customStyle="1" w:styleId="TAH">
    <w:name w:val="TAH"/>
    <w:basedOn w:val="a"/>
    <w:link w:val="TAHChar"/>
    <w:rsid w:val="003310A8"/>
    <w:pPr>
      <w:keepNext/>
      <w:keepLines/>
      <w:widowControl/>
      <w:wordWrap/>
      <w:overflowPunct w:val="0"/>
      <w:adjustRightInd w:val="0"/>
      <w:spacing w:after="0" w:line="240" w:lineRule="auto"/>
      <w:jc w:val="center"/>
      <w:textAlignment w:val="baseline"/>
    </w:pPr>
    <w:rPr>
      <w:rFonts w:ascii="Arial" w:eastAsia="SimSun" w:hAnsi="Arial" w:cs="Times New Roman"/>
      <w:b/>
      <w:kern w:val="0"/>
      <w:sz w:val="18"/>
      <w:szCs w:val="20"/>
      <w:lang w:eastAsia="en-US"/>
    </w:rPr>
  </w:style>
  <w:style w:type="paragraph" w:customStyle="1" w:styleId="TAL">
    <w:name w:val="TAL"/>
    <w:basedOn w:val="a"/>
    <w:link w:val="TALChar"/>
    <w:rsid w:val="003310A8"/>
    <w:pPr>
      <w:keepNext/>
      <w:keepLines/>
      <w:widowControl/>
      <w:wordWrap/>
      <w:overflowPunct w:val="0"/>
      <w:adjustRightInd w:val="0"/>
      <w:spacing w:after="0" w:line="240" w:lineRule="auto"/>
      <w:jc w:val="left"/>
      <w:textAlignment w:val="baseline"/>
    </w:pPr>
    <w:rPr>
      <w:rFonts w:ascii="Arial" w:eastAsia="SimSun" w:hAnsi="Arial" w:cs="Times New Roman"/>
      <w:kern w:val="0"/>
      <w:sz w:val="18"/>
      <w:szCs w:val="20"/>
      <w:lang w:eastAsia="en-US"/>
    </w:rPr>
  </w:style>
  <w:style w:type="character" w:customStyle="1" w:styleId="TALChar">
    <w:name w:val="TAL Char"/>
    <w:link w:val="TAL"/>
    <w:rsid w:val="003310A8"/>
    <w:rPr>
      <w:rFonts w:ascii="Arial" w:eastAsia="SimSun" w:hAnsi="Arial" w:cs="Times New Roman"/>
      <w:kern w:val="0"/>
      <w:sz w:val="18"/>
      <w:szCs w:val="20"/>
      <w:lang w:eastAsia="en-US"/>
    </w:rPr>
  </w:style>
  <w:style w:type="character" w:customStyle="1" w:styleId="TAHChar">
    <w:name w:val="TAH Char"/>
    <w:link w:val="TAH"/>
    <w:rsid w:val="003310A8"/>
    <w:rPr>
      <w:rFonts w:ascii="Arial" w:eastAsia="SimSun" w:hAnsi="Arial" w:cs="Times New Roman"/>
      <w:b/>
      <w:kern w:val="0"/>
      <w:sz w:val="18"/>
      <w:szCs w:val="20"/>
      <w:lang w:eastAsia="en-US"/>
    </w:rPr>
  </w:style>
  <w:style w:type="paragraph" w:customStyle="1" w:styleId="Doc-title">
    <w:name w:val="Doc-title"/>
    <w:basedOn w:val="a"/>
    <w:next w:val="Doc-text2"/>
    <w:link w:val="Doc-titleChar"/>
    <w:qFormat/>
    <w:rsid w:val="00CA43D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CA43D6"/>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CA43D6"/>
    <w:rPr>
      <w:rFonts w:ascii="Arial" w:eastAsia="MS Mincho" w:hAnsi="Arial" w:cs="Times New Roman"/>
      <w:kern w:val="0"/>
      <w:szCs w:val="24"/>
      <w:lang w:val="en-GB" w:eastAsia="en-GB"/>
    </w:rPr>
  </w:style>
  <w:style w:type="character" w:customStyle="1" w:styleId="Doc-titleChar">
    <w:name w:val="Doc-title Char"/>
    <w:link w:val="Doc-title"/>
    <w:rsid w:val="00CA43D6"/>
    <w:rPr>
      <w:rFonts w:ascii="Arial" w:eastAsia="MS Mincho" w:hAnsi="Arial" w:cs="Times New Roman"/>
      <w:noProof/>
      <w:kern w:val="0"/>
      <w:szCs w:val="24"/>
      <w:lang w:val="en-GB" w:eastAsia="en-GB"/>
    </w:rPr>
  </w:style>
  <w:style w:type="paragraph" w:customStyle="1" w:styleId="ComeBack">
    <w:name w:val="ComeBack"/>
    <w:basedOn w:val="Doc-text2"/>
    <w:next w:val="Doc-text2"/>
    <w:link w:val="ComeBackCharChar"/>
    <w:rsid w:val="00AC4F0C"/>
    <w:pPr>
      <w:numPr>
        <w:numId w:val="15"/>
      </w:numPr>
      <w:tabs>
        <w:tab w:val="clear" w:pos="1622"/>
      </w:tabs>
    </w:pPr>
  </w:style>
  <w:style w:type="character" w:customStyle="1" w:styleId="ComeBackCharChar">
    <w:name w:val="ComeBack Char Char"/>
    <w:link w:val="ComeBack"/>
    <w:rsid w:val="00AC4F0C"/>
    <w:rPr>
      <w:rFonts w:ascii="Arial" w:eastAsia="MS Mincho" w:hAnsi="Arial" w:cs="Times New Roman"/>
      <w:kern w:val="0"/>
      <w:szCs w:val="24"/>
      <w:lang w:val="en-GB" w:eastAsia="en-GB"/>
    </w:rPr>
  </w:style>
  <w:style w:type="paragraph" w:customStyle="1" w:styleId="TH">
    <w:name w:val="TH"/>
    <w:basedOn w:val="a"/>
    <w:link w:val="THChar"/>
    <w:rsid w:val="001C52B7"/>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character" w:customStyle="1" w:styleId="THChar">
    <w:name w:val="TH Char"/>
    <w:link w:val="TH"/>
    <w:rsid w:val="001C52B7"/>
    <w:rPr>
      <w:rFonts w:ascii="Arial" w:eastAsia="SimSun" w:hAnsi="Arial" w:cs="Times New Roman"/>
      <w:b/>
      <w:kern w:val="0"/>
      <w:szCs w:val="20"/>
      <w:lang w:val="en-GB" w:eastAsia="en-US"/>
    </w:rPr>
  </w:style>
  <w:style w:type="character" w:customStyle="1" w:styleId="TALCar">
    <w:name w:val="TAL Car"/>
    <w:rsid w:val="001C52B7"/>
    <w:rPr>
      <w:rFonts w:ascii="Arial" w:hAnsi="Arial"/>
      <w:sz w:val="18"/>
      <w:lang w:val="en-GB" w:eastAsia="en-US"/>
    </w:rPr>
  </w:style>
  <w:style w:type="paragraph" w:customStyle="1" w:styleId="Observation">
    <w:name w:val="Observation"/>
    <w:basedOn w:val="a"/>
    <w:qFormat/>
    <w:rsid w:val="008C5CFA"/>
    <w:pPr>
      <w:widowControl/>
      <w:tabs>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zh-CN"/>
    </w:rPr>
  </w:style>
  <w:style w:type="paragraph" w:styleId="ab">
    <w:name w:val="List Paragraph"/>
    <w:basedOn w:val="a"/>
    <w:uiPriority w:val="34"/>
    <w:qFormat/>
    <w:rsid w:val="00E574FD"/>
    <w:pPr>
      <w:ind w:leftChars="400" w:left="800"/>
    </w:pPr>
  </w:style>
  <w:style w:type="paragraph" w:customStyle="1" w:styleId="B1">
    <w:name w:val="B1"/>
    <w:basedOn w:val="ac"/>
    <w:link w:val="B1Zchn"/>
    <w:rsid w:val="00C112ED"/>
    <w:pPr>
      <w:widowControl/>
      <w:wordWrap/>
      <w:autoSpaceDE/>
      <w:autoSpaceDN/>
      <w:spacing w:after="180" w:line="240" w:lineRule="auto"/>
      <w:ind w:leftChars="0" w:left="568" w:firstLineChars="0" w:hanging="284"/>
      <w:contextualSpacing w:val="0"/>
      <w:jc w:val="left"/>
    </w:pPr>
    <w:rPr>
      <w:rFonts w:ascii="Times New Roman" w:eastAsia="MS Mincho" w:hAnsi="Times New Roman" w:cs="Times New Roman"/>
      <w:kern w:val="0"/>
      <w:szCs w:val="20"/>
      <w:lang w:val="en-GB" w:eastAsia="en-US"/>
    </w:rPr>
  </w:style>
  <w:style w:type="character" w:customStyle="1" w:styleId="B1Zchn">
    <w:name w:val="B1 Zchn"/>
    <w:link w:val="B1"/>
    <w:rsid w:val="00C112ED"/>
    <w:rPr>
      <w:rFonts w:ascii="Times New Roman" w:eastAsia="MS Mincho" w:hAnsi="Times New Roman" w:cs="Times New Roman"/>
      <w:kern w:val="0"/>
      <w:szCs w:val="20"/>
      <w:lang w:val="en-GB" w:eastAsia="en-US"/>
    </w:rPr>
  </w:style>
  <w:style w:type="paragraph" w:styleId="ac">
    <w:name w:val="List"/>
    <w:basedOn w:val="a"/>
    <w:uiPriority w:val="99"/>
    <w:semiHidden/>
    <w:unhideWhenUsed/>
    <w:rsid w:val="00C112ED"/>
    <w:pPr>
      <w:ind w:leftChars="200" w:left="100" w:hangingChars="200" w:hanging="200"/>
      <w:contextualSpacing/>
    </w:pPr>
  </w:style>
  <w:style w:type="character" w:styleId="ad">
    <w:name w:val="annotation reference"/>
    <w:basedOn w:val="a0"/>
    <w:uiPriority w:val="99"/>
    <w:semiHidden/>
    <w:unhideWhenUsed/>
    <w:rsid w:val="009E3353"/>
    <w:rPr>
      <w:sz w:val="18"/>
      <w:szCs w:val="18"/>
    </w:rPr>
  </w:style>
  <w:style w:type="paragraph" w:styleId="ae">
    <w:name w:val="annotation text"/>
    <w:basedOn w:val="a"/>
    <w:link w:val="Char2"/>
    <w:uiPriority w:val="99"/>
    <w:semiHidden/>
    <w:unhideWhenUsed/>
    <w:rsid w:val="009E3353"/>
    <w:pPr>
      <w:jc w:val="left"/>
    </w:pPr>
  </w:style>
  <w:style w:type="character" w:customStyle="1" w:styleId="Char2">
    <w:name w:val="메모 텍스트 Char"/>
    <w:basedOn w:val="a0"/>
    <w:link w:val="ae"/>
    <w:uiPriority w:val="99"/>
    <w:semiHidden/>
    <w:rsid w:val="009E3353"/>
  </w:style>
  <w:style w:type="paragraph" w:styleId="af">
    <w:name w:val="annotation subject"/>
    <w:basedOn w:val="ae"/>
    <w:next w:val="ae"/>
    <w:link w:val="Char3"/>
    <w:uiPriority w:val="99"/>
    <w:semiHidden/>
    <w:unhideWhenUsed/>
    <w:rsid w:val="009E3353"/>
    <w:rPr>
      <w:b/>
      <w:bCs/>
    </w:rPr>
  </w:style>
  <w:style w:type="character" w:customStyle="1" w:styleId="Char3">
    <w:name w:val="메모 주제 Char"/>
    <w:basedOn w:val="Char2"/>
    <w:link w:val="af"/>
    <w:uiPriority w:val="99"/>
    <w:semiHidden/>
    <w:rsid w:val="009E3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21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738</Words>
  <Characters>4213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목영중/Advanced Communications Lab(DMC연)/E3(사원)/삼성전자</cp:lastModifiedBy>
  <cp:revision>9</cp:revision>
  <dcterms:created xsi:type="dcterms:W3CDTF">2017-02-01T01:47:00Z</dcterms:created>
  <dcterms:modified xsi:type="dcterms:W3CDTF">2017-02-03T07:24:00Z</dcterms:modified>
</cp:coreProperties>
</file>